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D508D4" w14:textId="77777777" w:rsidR="00475945" w:rsidRDefault="00475945" w:rsidP="00475945">
      <w:pPr>
        <w:spacing w:after="120" w:line="240" w:lineRule="auto"/>
        <w:jc w:val="center"/>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TERMO DE REFERÊNCIA</w:t>
      </w:r>
    </w:p>
    <w:p w14:paraId="65C0A1C0" w14:textId="77777777" w:rsidR="00475945" w:rsidRPr="00066DBE" w:rsidRDefault="00475945" w:rsidP="00475945">
      <w:pPr>
        <w:spacing w:after="120" w:line="240" w:lineRule="auto"/>
        <w:jc w:val="center"/>
        <w:rPr>
          <w:rFonts w:ascii="Bookman Old Style" w:eastAsia="Arial" w:hAnsi="Bookman Old Style" w:cs="Arial"/>
          <w:b/>
          <w:color w:val="000000"/>
          <w:sz w:val="24"/>
          <w:szCs w:val="24"/>
        </w:rPr>
      </w:pPr>
    </w:p>
    <w:p w14:paraId="2A0A42F4" w14:textId="77777777" w:rsidR="00475945" w:rsidRPr="00066DBE"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OBJETO</w:t>
      </w:r>
    </w:p>
    <w:p w14:paraId="66B75C4F" w14:textId="77777777" w:rsidR="00475945" w:rsidRPr="00864C1D" w:rsidRDefault="00475945" w:rsidP="00475945">
      <w:pPr>
        <w:numPr>
          <w:ilvl w:val="1"/>
          <w:numId w:val="7"/>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Definição do objeto:</w:t>
      </w:r>
    </w:p>
    <w:p w14:paraId="235D4274" w14:textId="742E7351" w:rsidR="00475945" w:rsidRPr="00864C1D" w:rsidRDefault="00475945" w:rsidP="00475945">
      <w:pPr>
        <w:numPr>
          <w:ilvl w:val="2"/>
          <w:numId w:val="7"/>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bookmarkStart w:id="0" w:name="_Hlk170225429"/>
      <w:r w:rsidRPr="00864C1D">
        <w:rPr>
          <w:rFonts w:ascii="Bookman Old Style" w:hAnsi="Bookman Old Style" w:cs="Helvetica"/>
          <w:sz w:val="24"/>
          <w:szCs w:val="24"/>
        </w:rPr>
        <w:t xml:space="preserve">Contratação </w:t>
      </w:r>
      <w:r w:rsidR="00652E7C">
        <w:rPr>
          <w:rFonts w:ascii="Bookman Old Style" w:hAnsi="Bookman Old Style" w:cs="Helvetica"/>
          <w:sz w:val="24"/>
          <w:szCs w:val="24"/>
        </w:rPr>
        <w:t>de serviços de</w:t>
      </w:r>
      <w:r w:rsidRPr="00864C1D">
        <w:rPr>
          <w:rFonts w:ascii="Bookman Old Style" w:hAnsi="Bookman Old Style" w:cs="Helvetica"/>
          <w:sz w:val="24"/>
          <w:szCs w:val="24"/>
        </w:rPr>
        <w:t xml:space="preserve"> administração, gerenciamento, emissão, distribuição e fornecimento de auxílio alimentação através de cartão eletrônico/magnético com chip, com senha, sob demanda, para aquisição de gêneros alimentícios e refeições prontas, para atender as necessidades do Município</w:t>
      </w:r>
      <w:r w:rsidR="00815418">
        <w:rPr>
          <w:rFonts w:ascii="Bookman Old Style" w:hAnsi="Bookman Old Style" w:cs="Helvetica"/>
          <w:sz w:val="24"/>
          <w:szCs w:val="24"/>
        </w:rPr>
        <w:t xml:space="preserve"> de Cordilheira Alta, </w:t>
      </w:r>
      <w:r w:rsidR="00815418" w:rsidRPr="00864C1D">
        <w:rPr>
          <w:rFonts w:ascii="Bookman Old Style" w:hAnsi="Bookman Old Style" w:cs="Helvetica"/>
          <w:sz w:val="24"/>
          <w:szCs w:val="24"/>
        </w:rPr>
        <w:t>do</w:t>
      </w:r>
      <w:r w:rsidRPr="00864C1D">
        <w:rPr>
          <w:rFonts w:ascii="Bookman Old Style" w:hAnsi="Bookman Old Style" w:cs="Helvetica"/>
          <w:sz w:val="24"/>
          <w:szCs w:val="24"/>
        </w:rPr>
        <w:t xml:space="preserve"> Fundo Municipal de Saúde </w:t>
      </w:r>
      <w:bookmarkEnd w:id="0"/>
      <w:r w:rsidR="009F67DF">
        <w:rPr>
          <w:rFonts w:ascii="Bookman Old Style" w:hAnsi="Bookman Old Style" w:cs="Helvetica"/>
          <w:sz w:val="24"/>
          <w:szCs w:val="24"/>
        </w:rPr>
        <w:t xml:space="preserve">e da Câmara de Vereadores </w:t>
      </w:r>
      <w:r w:rsidR="009F67DF" w:rsidRPr="00864C1D">
        <w:rPr>
          <w:rFonts w:ascii="Bookman Old Style" w:hAnsi="Bookman Old Style" w:cs="Helvetica"/>
          <w:sz w:val="24"/>
          <w:szCs w:val="24"/>
        </w:rPr>
        <w:t>de Cordilheira Alta</w:t>
      </w:r>
      <w:r w:rsidRPr="00864C1D">
        <w:rPr>
          <w:rFonts w:ascii="Bookman Old Style" w:eastAsia="Arial" w:hAnsi="Bookman Old Style" w:cs="Arial"/>
          <w:color w:val="000000"/>
          <w:sz w:val="24"/>
          <w:szCs w:val="24"/>
        </w:rPr>
        <w:t>, nos termos da tabela abaixo, conforme condições e exigências estabelecidas neste instrumento.</w:t>
      </w:r>
    </w:p>
    <w:p w14:paraId="4BCB2A5E" w14:textId="5FE022E3" w:rsidR="00475945" w:rsidRDefault="00475945" w:rsidP="00475945">
      <w:pPr>
        <w:numPr>
          <w:ilvl w:val="1"/>
          <w:numId w:val="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b/>
          <w:color w:val="000000"/>
          <w:sz w:val="24"/>
          <w:szCs w:val="24"/>
        </w:rPr>
        <w:t>Estimativa do valor pago em vale alimentação</w:t>
      </w:r>
      <w:r w:rsidRPr="00864C1D">
        <w:rPr>
          <w:rFonts w:ascii="Bookman Old Style" w:eastAsia="Arial" w:hAnsi="Bookman Old Style" w:cs="Arial"/>
          <w:color w:val="000000"/>
          <w:sz w:val="24"/>
          <w:szCs w:val="24"/>
        </w:rPr>
        <w:t xml:space="preserve"> (base no mês de maio 2024):</w:t>
      </w:r>
    </w:p>
    <w:p w14:paraId="34A75740" w14:textId="1DD21B5F" w:rsidR="00DA4AF8" w:rsidRPr="00DA4AF8" w:rsidRDefault="00DA4AF8" w:rsidP="00DA4AF8">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DA4AF8">
        <w:rPr>
          <w:rFonts w:ascii="Bookman Old Style" w:eastAsia="Arial" w:hAnsi="Bookman Old Style" w:cs="Arial"/>
          <w:color w:val="000000"/>
          <w:sz w:val="24"/>
          <w:szCs w:val="24"/>
        </w:rPr>
        <w:t>Lote 01:</w:t>
      </w:r>
    </w:p>
    <w:tbl>
      <w:tblPr>
        <w:tblW w:w="9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2"/>
        <w:gridCol w:w="3827"/>
        <w:gridCol w:w="709"/>
        <w:gridCol w:w="851"/>
        <w:gridCol w:w="1417"/>
        <w:gridCol w:w="1559"/>
      </w:tblGrid>
      <w:tr w:rsidR="00475945" w:rsidRPr="00864C1D" w14:paraId="05465CEB" w14:textId="77777777" w:rsidTr="00564733">
        <w:trPr>
          <w:cantSplit/>
          <w:tblHeader/>
        </w:trPr>
        <w:tc>
          <w:tcPr>
            <w:tcW w:w="812" w:type="dxa"/>
            <w:vAlign w:val="center"/>
          </w:tcPr>
          <w:p w14:paraId="4C2523E7"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ITEM</w:t>
            </w:r>
          </w:p>
        </w:tc>
        <w:tc>
          <w:tcPr>
            <w:tcW w:w="3827" w:type="dxa"/>
            <w:vAlign w:val="center"/>
          </w:tcPr>
          <w:p w14:paraId="47DF20E5"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ESPECIFICAÇÃO</w:t>
            </w:r>
          </w:p>
        </w:tc>
        <w:tc>
          <w:tcPr>
            <w:tcW w:w="709" w:type="dxa"/>
            <w:vAlign w:val="center"/>
          </w:tcPr>
          <w:p w14:paraId="55FDD213"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 xml:space="preserve">UNID. </w:t>
            </w:r>
          </w:p>
        </w:tc>
        <w:tc>
          <w:tcPr>
            <w:tcW w:w="851" w:type="dxa"/>
            <w:vAlign w:val="center"/>
          </w:tcPr>
          <w:p w14:paraId="0570F76D"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QUANT</w:t>
            </w:r>
          </w:p>
        </w:tc>
        <w:tc>
          <w:tcPr>
            <w:tcW w:w="1417" w:type="dxa"/>
            <w:vAlign w:val="center"/>
          </w:tcPr>
          <w:p w14:paraId="59D0BFE0"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 xml:space="preserve">VALOR </w:t>
            </w:r>
            <w:r w:rsidRPr="00E37B5E">
              <w:rPr>
                <w:rFonts w:ascii="Arial Nova Cond Light" w:eastAsia="Arial" w:hAnsi="Arial Nova Cond Light" w:cs="Arial"/>
                <w:b/>
                <w:sz w:val="20"/>
                <w:szCs w:val="20"/>
              </w:rPr>
              <w:t>UNIT.</w:t>
            </w:r>
          </w:p>
        </w:tc>
        <w:tc>
          <w:tcPr>
            <w:tcW w:w="1559" w:type="dxa"/>
            <w:vAlign w:val="center"/>
          </w:tcPr>
          <w:p w14:paraId="385DE5D1" w14:textId="77777777" w:rsidR="00475945" w:rsidRPr="00E37B5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VALOR TOTAL</w:t>
            </w:r>
          </w:p>
        </w:tc>
      </w:tr>
      <w:tr w:rsidR="00911DEF" w:rsidRPr="00864C1D" w14:paraId="001C901E" w14:textId="77777777" w:rsidTr="00564733">
        <w:trPr>
          <w:cantSplit/>
          <w:trHeight w:val="1332"/>
          <w:tblHeader/>
        </w:trPr>
        <w:tc>
          <w:tcPr>
            <w:tcW w:w="812" w:type="dxa"/>
          </w:tcPr>
          <w:p w14:paraId="77675C9D" w14:textId="68A43F52"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eastAsia="Arial" w:hAnsi="Bookman Old Style" w:cs="Arial"/>
                <w:color w:val="000000"/>
                <w:sz w:val="24"/>
                <w:szCs w:val="24"/>
              </w:rPr>
              <w:t>1</w:t>
            </w:r>
          </w:p>
        </w:tc>
        <w:tc>
          <w:tcPr>
            <w:tcW w:w="3827" w:type="dxa"/>
          </w:tcPr>
          <w:p w14:paraId="5358EA8C" w14:textId="3BBBFE6A" w:rsidR="00911DEF" w:rsidRPr="004E194B"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4E194B">
              <w:rPr>
                <w:rFonts w:ascii="Arial Nova Cond Light" w:eastAsia="Times New Roman" w:hAnsi="Arial Nova Cond Light"/>
                <w:color w:val="000000"/>
                <w:sz w:val="24"/>
                <w:szCs w:val="24"/>
              </w:rPr>
              <w:t>Cartão Eletrônico Magnético para fornecimento de auxílio alimentação aos servidores das diversas secretarias do Município de Cordilheira Alta SC</w:t>
            </w:r>
          </w:p>
        </w:tc>
        <w:tc>
          <w:tcPr>
            <w:tcW w:w="709" w:type="dxa"/>
          </w:tcPr>
          <w:p w14:paraId="152ACBE9" w14:textId="361C0C50"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E37B5E">
              <w:rPr>
                <w:rFonts w:ascii="Arial Nova Cond Light" w:eastAsia="Arial" w:hAnsi="Arial Nova Cond Light" w:cs="Arial"/>
                <w:color w:val="000000"/>
                <w:sz w:val="24"/>
                <w:szCs w:val="24"/>
              </w:rPr>
              <w:t xml:space="preserve"> Mês </w:t>
            </w:r>
          </w:p>
        </w:tc>
        <w:tc>
          <w:tcPr>
            <w:tcW w:w="851" w:type="dxa"/>
          </w:tcPr>
          <w:p w14:paraId="25DD7553" w14:textId="6D1130CD"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 xml:space="preserve"> 12</w:t>
            </w:r>
          </w:p>
        </w:tc>
        <w:tc>
          <w:tcPr>
            <w:tcW w:w="1417" w:type="dxa"/>
            <w:vAlign w:val="bottom"/>
          </w:tcPr>
          <w:p w14:paraId="3BEAB629" w14:textId="478A1D36"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Times New Roman" w:hAnsi="Arial Nova Cond Light"/>
                <w:color w:val="000000"/>
                <w:sz w:val="20"/>
                <w:szCs w:val="20"/>
              </w:rPr>
              <w:t>R$ 61.012,39</w:t>
            </w:r>
          </w:p>
        </w:tc>
        <w:tc>
          <w:tcPr>
            <w:tcW w:w="1559" w:type="dxa"/>
          </w:tcPr>
          <w:p w14:paraId="188F7A75"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5359AC2D"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322F13BD"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1A63C22A" w14:textId="531507E2"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R$ 732.148,68</w:t>
            </w:r>
          </w:p>
        </w:tc>
      </w:tr>
      <w:tr w:rsidR="00911DEF" w:rsidRPr="00864C1D" w14:paraId="29C556C9" w14:textId="77777777" w:rsidTr="00564733">
        <w:trPr>
          <w:cantSplit/>
          <w:trHeight w:val="1332"/>
          <w:tblHeader/>
        </w:trPr>
        <w:tc>
          <w:tcPr>
            <w:tcW w:w="812" w:type="dxa"/>
          </w:tcPr>
          <w:p w14:paraId="47A8513C" w14:textId="1BFF5402"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eastAsia="Arial" w:hAnsi="Bookman Old Style" w:cs="Arial"/>
                <w:color w:val="000000"/>
                <w:sz w:val="24"/>
                <w:szCs w:val="24"/>
              </w:rPr>
              <w:t>2</w:t>
            </w:r>
          </w:p>
        </w:tc>
        <w:tc>
          <w:tcPr>
            <w:tcW w:w="3827" w:type="dxa"/>
          </w:tcPr>
          <w:p w14:paraId="1F41458A" w14:textId="25FDE82E" w:rsidR="00911DEF" w:rsidRPr="004E194B" w:rsidRDefault="00911DEF" w:rsidP="00911DEF">
            <w:pPr>
              <w:pBdr>
                <w:top w:val="nil"/>
                <w:left w:val="nil"/>
                <w:bottom w:val="nil"/>
                <w:right w:val="nil"/>
                <w:between w:val="nil"/>
              </w:pBdr>
              <w:spacing w:after="120" w:line="240" w:lineRule="auto"/>
              <w:rPr>
                <w:rFonts w:ascii="Arial Nova Cond Light" w:eastAsia="Times New Roman" w:hAnsi="Arial Nova Cond Light"/>
                <w:color w:val="000000"/>
                <w:sz w:val="24"/>
                <w:szCs w:val="24"/>
              </w:rPr>
            </w:pPr>
            <w:r w:rsidRPr="004E194B">
              <w:rPr>
                <w:rFonts w:ascii="Arial Nova Cond Light" w:eastAsia="Times New Roman" w:hAnsi="Arial Nova Cond Light"/>
                <w:color w:val="000000"/>
                <w:sz w:val="24"/>
                <w:szCs w:val="24"/>
              </w:rPr>
              <w:t>Cartão Eletrônico Magnético para fornecimento de auxílio alimentação aos servidores do Fundo Municipal de Saúde de Cordilheira Alta SC</w:t>
            </w:r>
          </w:p>
        </w:tc>
        <w:tc>
          <w:tcPr>
            <w:tcW w:w="709" w:type="dxa"/>
          </w:tcPr>
          <w:p w14:paraId="26157156" w14:textId="18C0EA4E"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E37B5E">
              <w:rPr>
                <w:rFonts w:ascii="Arial Nova Cond Light" w:eastAsia="Arial" w:hAnsi="Arial Nova Cond Light" w:cs="Arial"/>
                <w:color w:val="000000"/>
                <w:sz w:val="24"/>
                <w:szCs w:val="24"/>
              </w:rPr>
              <w:t xml:space="preserve"> Mês</w:t>
            </w:r>
          </w:p>
        </w:tc>
        <w:tc>
          <w:tcPr>
            <w:tcW w:w="851" w:type="dxa"/>
          </w:tcPr>
          <w:p w14:paraId="1FA9BE8B" w14:textId="3BE971A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 xml:space="preserve"> 12</w:t>
            </w:r>
          </w:p>
        </w:tc>
        <w:tc>
          <w:tcPr>
            <w:tcW w:w="1417" w:type="dxa"/>
            <w:vAlign w:val="bottom"/>
          </w:tcPr>
          <w:p w14:paraId="4DFFAD37" w14:textId="05B9D9CE" w:rsidR="00911DEF" w:rsidRPr="00E37B5E" w:rsidRDefault="00911DEF" w:rsidP="00911DEF">
            <w:pPr>
              <w:pBdr>
                <w:top w:val="nil"/>
                <w:left w:val="nil"/>
                <w:bottom w:val="nil"/>
                <w:right w:val="nil"/>
                <w:between w:val="nil"/>
              </w:pBdr>
              <w:spacing w:after="120" w:line="240" w:lineRule="auto"/>
              <w:rPr>
                <w:rFonts w:ascii="Arial Nova Cond Light" w:eastAsia="Times New Roman" w:hAnsi="Arial Nova Cond Light"/>
                <w:color w:val="000000"/>
                <w:sz w:val="20"/>
                <w:szCs w:val="20"/>
              </w:rPr>
            </w:pPr>
            <w:r w:rsidRPr="00E37B5E">
              <w:rPr>
                <w:rFonts w:ascii="Arial Nova Cond Light" w:eastAsia="Times New Roman" w:hAnsi="Arial Nova Cond Light"/>
                <w:color w:val="000000"/>
                <w:sz w:val="20"/>
                <w:szCs w:val="20"/>
              </w:rPr>
              <w:t>R$ 16.982,84</w:t>
            </w:r>
          </w:p>
        </w:tc>
        <w:tc>
          <w:tcPr>
            <w:tcW w:w="1559" w:type="dxa"/>
          </w:tcPr>
          <w:p w14:paraId="45E567E9"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0CD038B4"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2B1C09D0"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64A50533" w14:textId="6DB141C8"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R$ 203.794,08</w:t>
            </w:r>
          </w:p>
        </w:tc>
      </w:tr>
      <w:tr w:rsidR="00911DEF" w:rsidRPr="00864C1D" w14:paraId="41EFDB1E" w14:textId="77777777" w:rsidTr="00564733">
        <w:trPr>
          <w:cantSplit/>
          <w:tblHeader/>
        </w:trPr>
        <w:tc>
          <w:tcPr>
            <w:tcW w:w="812" w:type="dxa"/>
          </w:tcPr>
          <w:p w14:paraId="243C7B10" w14:textId="77777777"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3</w:t>
            </w:r>
          </w:p>
        </w:tc>
        <w:tc>
          <w:tcPr>
            <w:tcW w:w="3827" w:type="dxa"/>
          </w:tcPr>
          <w:p w14:paraId="3F49DFD1" w14:textId="7773F643" w:rsidR="00911DEF" w:rsidRPr="004E194B"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4E194B">
              <w:rPr>
                <w:rFonts w:ascii="Arial Nova Cond Light" w:eastAsia="Times New Roman" w:hAnsi="Arial Nova Cond Light"/>
                <w:color w:val="000000"/>
                <w:sz w:val="24"/>
                <w:szCs w:val="24"/>
              </w:rPr>
              <w:t>Cartão Eletrônico Magnético para fornecimento de auxílio alimentação aos servidores da Câmara Municipal de Cordilheira Alta SC</w:t>
            </w:r>
          </w:p>
        </w:tc>
        <w:tc>
          <w:tcPr>
            <w:tcW w:w="709" w:type="dxa"/>
          </w:tcPr>
          <w:p w14:paraId="101C27F3" w14:textId="36BB6D7D"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4"/>
                <w:szCs w:val="24"/>
              </w:rPr>
            </w:pPr>
            <w:r w:rsidRPr="00E37B5E">
              <w:rPr>
                <w:rFonts w:ascii="Arial Nova Cond Light" w:eastAsia="Arial" w:hAnsi="Arial Nova Cond Light" w:cs="Arial"/>
                <w:color w:val="000000"/>
                <w:sz w:val="24"/>
                <w:szCs w:val="24"/>
              </w:rPr>
              <w:t xml:space="preserve"> Mês </w:t>
            </w:r>
          </w:p>
        </w:tc>
        <w:tc>
          <w:tcPr>
            <w:tcW w:w="851" w:type="dxa"/>
          </w:tcPr>
          <w:p w14:paraId="233552A5" w14:textId="4F6425B5"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 xml:space="preserve"> 12</w:t>
            </w:r>
          </w:p>
        </w:tc>
        <w:tc>
          <w:tcPr>
            <w:tcW w:w="1417" w:type="dxa"/>
            <w:vAlign w:val="bottom"/>
          </w:tcPr>
          <w:p w14:paraId="4FB054B7" w14:textId="50076DAA"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Times New Roman" w:hAnsi="Arial Nova Cond Light"/>
                <w:color w:val="000000"/>
                <w:sz w:val="20"/>
                <w:szCs w:val="20"/>
              </w:rPr>
              <w:t> R$ 1.324,23</w:t>
            </w:r>
          </w:p>
        </w:tc>
        <w:tc>
          <w:tcPr>
            <w:tcW w:w="1559" w:type="dxa"/>
          </w:tcPr>
          <w:p w14:paraId="4806F597"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4E086BBC"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3419E8E2" w14:textId="77777777"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p>
          <w:p w14:paraId="2C57DE17" w14:textId="6107FAEB" w:rsidR="00911DEF" w:rsidRPr="00E37B5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E37B5E">
              <w:rPr>
                <w:rFonts w:ascii="Arial Nova Cond Light" w:eastAsia="Arial" w:hAnsi="Arial Nova Cond Light" w:cs="Arial"/>
                <w:color w:val="000000"/>
                <w:sz w:val="20"/>
                <w:szCs w:val="20"/>
              </w:rPr>
              <w:t>R$ 15.890,76</w:t>
            </w:r>
          </w:p>
        </w:tc>
      </w:tr>
      <w:tr w:rsidR="00911DEF" w:rsidRPr="00864C1D" w14:paraId="156809DF" w14:textId="77777777" w:rsidTr="00564733">
        <w:trPr>
          <w:cantSplit/>
          <w:tblHeader/>
        </w:trPr>
        <w:tc>
          <w:tcPr>
            <w:tcW w:w="6199" w:type="dxa"/>
            <w:gridSpan w:val="4"/>
          </w:tcPr>
          <w:p w14:paraId="29B5E1AC" w14:textId="77777777" w:rsidR="00911DEF" w:rsidRPr="00E37B5E" w:rsidRDefault="00911DEF" w:rsidP="00911DEF">
            <w:pPr>
              <w:pBdr>
                <w:top w:val="nil"/>
                <w:left w:val="nil"/>
                <w:bottom w:val="nil"/>
                <w:right w:val="nil"/>
                <w:between w:val="nil"/>
              </w:pBdr>
              <w:spacing w:after="120" w:line="240" w:lineRule="auto"/>
              <w:jc w:val="right"/>
              <w:rPr>
                <w:rFonts w:ascii="Arial Nova Cond Light" w:eastAsia="Arial" w:hAnsi="Arial Nova Cond Light" w:cs="Arial"/>
                <w:b/>
                <w:color w:val="000000"/>
                <w:sz w:val="20"/>
                <w:szCs w:val="20"/>
              </w:rPr>
            </w:pPr>
            <w:r w:rsidRPr="00E37B5E">
              <w:rPr>
                <w:rFonts w:ascii="Arial Nova Cond Light" w:eastAsia="Arial" w:hAnsi="Arial Nova Cond Light" w:cs="Arial"/>
                <w:b/>
                <w:color w:val="000000"/>
                <w:sz w:val="20"/>
                <w:szCs w:val="20"/>
              </w:rPr>
              <w:t>TOTAIS (R$)</w:t>
            </w:r>
          </w:p>
        </w:tc>
        <w:tc>
          <w:tcPr>
            <w:tcW w:w="1417" w:type="dxa"/>
          </w:tcPr>
          <w:p w14:paraId="419F39CF" w14:textId="119F18F1" w:rsidR="00911DEF" w:rsidRPr="004559BE" w:rsidRDefault="00911DEF" w:rsidP="00911DEF">
            <w:pPr>
              <w:pBdr>
                <w:top w:val="nil"/>
                <w:left w:val="nil"/>
                <w:bottom w:val="nil"/>
                <w:right w:val="nil"/>
                <w:between w:val="nil"/>
              </w:pBdr>
              <w:spacing w:after="120" w:line="240" w:lineRule="auto"/>
              <w:rPr>
                <w:rFonts w:ascii="Arial Nova Cond Light" w:eastAsia="Arial" w:hAnsi="Arial Nova Cond Light" w:cs="Arial"/>
                <w:b/>
                <w:color w:val="000000"/>
                <w:sz w:val="24"/>
                <w:szCs w:val="24"/>
              </w:rPr>
            </w:pPr>
            <w:r w:rsidRPr="004559BE">
              <w:rPr>
                <w:rFonts w:ascii="Arial Nova Cond Light" w:eastAsia="Arial" w:hAnsi="Arial Nova Cond Light" w:cs="Arial"/>
                <w:b/>
                <w:color w:val="000000"/>
                <w:sz w:val="24"/>
                <w:szCs w:val="24"/>
              </w:rPr>
              <w:t>R$ 79.319,46</w:t>
            </w:r>
          </w:p>
        </w:tc>
        <w:tc>
          <w:tcPr>
            <w:tcW w:w="1559" w:type="dxa"/>
          </w:tcPr>
          <w:p w14:paraId="14798821" w14:textId="0DB4BF42" w:rsidR="00911DEF" w:rsidRPr="004559BE" w:rsidRDefault="00911DEF" w:rsidP="00911DEF">
            <w:pPr>
              <w:pBdr>
                <w:top w:val="nil"/>
                <w:left w:val="nil"/>
                <w:bottom w:val="nil"/>
                <w:right w:val="nil"/>
                <w:between w:val="nil"/>
              </w:pBdr>
              <w:spacing w:after="120" w:line="240" w:lineRule="auto"/>
              <w:rPr>
                <w:rFonts w:ascii="Arial Nova Cond Light" w:eastAsia="Arial" w:hAnsi="Arial Nova Cond Light" w:cs="Arial"/>
                <w:color w:val="000000"/>
                <w:sz w:val="20"/>
                <w:szCs w:val="20"/>
              </w:rPr>
            </w:pPr>
            <w:r w:rsidRPr="004559BE">
              <w:rPr>
                <w:rFonts w:ascii="Arial Nova Cond Light" w:eastAsia="Arial" w:hAnsi="Arial Nova Cond Light" w:cs="Arial"/>
                <w:color w:val="000000"/>
                <w:sz w:val="20"/>
                <w:szCs w:val="20"/>
              </w:rPr>
              <w:t>R$ 951.833,52</w:t>
            </w:r>
          </w:p>
        </w:tc>
      </w:tr>
    </w:tbl>
    <w:p w14:paraId="534F661C" w14:textId="38FD8346" w:rsidR="00475945" w:rsidRPr="00E663AD" w:rsidRDefault="00475945" w:rsidP="00475945">
      <w:pPr>
        <w:pBdr>
          <w:top w:val="nil"/>
          <w:left w:val="nil"/>
          <w:bottom w:val="nil"/>
          <w:right w:val="nil"/>
          <w:between w:val="nil"/>
        </w:pBdr>
        <w:spacing w:before="120" w:after="120" w:line="240" w:lineRule="auto"/>
        <w:jc w:val="both"/>
        <w:rPr>
          <w:rFonts w:ascii="Bookman Old Style" w:eastAsia="Arial" w:hAnsi="Bookman Old Style" w:cs="Arial"/>
          <w:sz w:val="24"/>
          <w:szCs w:val="24"/>
        </w:rPr>
      </w:pPr>
      <w:r w:rsidRPr="008B6CC9">
        <w:rPr>
          <w:rFonts w:ascii="Bookman Old Style" w:eastAsia="Arial" w:hAnsi="Bookman Old Style" w:cs="Arial"/>
          <w:b/>
          <w:color w:val="C00000"/>
          <w:sz w:val="24"/>
          <w:szCs w:val="24"/>
        </w:rPr>
        <w:t>OBS</w:t>
      </w:r>
      <w:r w:rsidRPr="008B6CC9">
        <w:rPr>
          <w:rFonts w:ascii="Bookman Old Style" w:eastAsia="Arial" w:hAnsi="Bookman Old Style" w:cs="Arial"/>
          <w:i/>
          <w:color w:val="C00000"/>
          <w:sz w:val="24"/>
          <w:szCs w:val="24"/>
        </w:rPr>
        <w:t xml:space="preserve">: </w:t>
      </w:r>
      <w:r w:rsidRPr="00E663AD">
        <w:rPr>
          <w:rFonts w:ascii="Bookman Old Style" w:eastAsia="Arial" w:hAnsi="Bookman Old Style" w:cs="Arial"/>
          <w:i/>
          <w:sz w:val="24"/>
          <w:szCs w:val="24"/>
        </w:rPr>
        <w:t xml:space="preserve">Para a fase de lances, será utilizado como referência o valor do último mês pago até este momento (maio de 2024), que foi de </w:t>
      </w:r>
      <w:r w:rsidRPr="005F2CBA">
        <w:rPr>
          <w:rFonts w:ascii="Bookman Old Style" w:eastAsia="Arial" w:hAnsi="Bookman Old Style" w:cs="Arial"/>
          <w:b/>
          <w:i/>
          <w:sz w:val="24"/>
          <w:szCs w:val="24"/>
        </w:rPr>
        <w:t>R$ 7</w:t>
      </w:r>
      <w:r w:rsidR="00FF0A15">
        <w:rPr>
          <w:rFonts w:ascii="Bookman Old Style" w:eastAsia="Arial" w:hAnsi="Bookman Old Style" w:cs="Arial"/>
          <w:b/>
          <w:i/>
          <w:sz w:val="24"/>
          <w:szCs w:val="24"/>
        </w:rPr>
        <w:t>9.319,46</w:t>
      </w:r>
      <w:r w:rsidRPr="00E663AD">
        <w:rPr>
          <w:rFonts w:ascii="Bookman Old Style" w:eastAsia="Arial" w:hAnsi="Bookman Old Style" w:cs="Arial"/>
          <w:i/>
          <w:sz w:val="24"/>
          <w:szCs w:val="24"/>
        </w:rPr>
        <w:t xml:space="preserve"> (setenta </w:t>
      </w:r>
      <w:r w:rsidR="00FF0A15">
        <w:rPr>
          <w:rFonts w:ascii="Bookman Old Style" w:eastAsia="Arial" w:hAnsi="Bookman Old Style" w:cs="Arial"/>
          <w:i/>
          <w:sz w:val="24"/>
          <w:szCs w:val="24"/>
        </w:rPr>
        <w:t>e nove</w:t>
      </w:r>
      <w:r w:rsidRPr="00E663AD">
        <w:rPr>
          <w:rFonts w:ascii="Bookman Old Style" w:eastAsia="Arial" w:hAnsi="Bookman Old Style" w:cs="Arial"/>
          <w:i/>
          <w:sz w:val="24"/>
          <w:szCs w:val="24"/>
        </w:rPr>
        <w:t xml:space="preserve"> mil, </w:t>
      </w:r>
      <w:r w:rsidR="00FF0A15">
        <w:rPr>
          <w:rFonts w:ascii="Bookman Old Style" w:eastAsia="Arial" w:hAnsi="Bookman Old Style" w:cs="Arial"/>
          <w:i/>
          <w:sz w:val="24"/>
          <w:szCs w:val="24"/>
        </w:rPr>
        <w:t>trezentos e dezenove</w:t>
      </w:r>
      <w:r w:rsidRPr="00E663AD">
        <w:rPr>
          <w:rFonts w:ascii="Bookman Old Style" w:eastAsia="Arial" w:hAnsi="Bookman Old Style" w:cs="Arial"/>
          <w:i/>
          <w:sz w:val="24"/>
          <w:szCs w:val="24"/>
        </w:rPr>
        <w:t xml:space="preserve"> reais e </w:t>
      </w:r>
      <w:r w:rsidR="00FF0A15">
        <w:rPr>
          <w:rFonts w:ascii="Bookman Old Style" w:eastAsia="Arial" w:hAnsi="Bookman Old Style" w:cs="Arial"/>
          <w:i/>
          <w:sz w:val="24"/>
          <w:szCs w:val="24"/>
        </w:rPr>
        <w:t xml:space="preserve">quarenta e seis </w:t>
      </w:r>
      <w:r w:rsidRPr="00E663AD">
        <w:rPr>
          <w:rFonts w:ascii="Bookman Old Style" w:eastAsia="Arial" w:hAnsi="Bookman Old Style" w:cs="Arial"/>
          <w:i/>
          <w:sz w:val="24"/>
          <w:szCs w:val="24"/>
        </w:rPr>
        <w:t>centavos), e conforme descrição explicativa no item 8 deste termo de referência.</w:t>
      </w:r>
    </w:p>
    <w:p w14:paraId="280D1F8F" w14:textId="0E306898"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bCs/>
          <w:color w:val="000000"/>
          <w:sz w:val="24"/>
          <w:szCs w:val="24"/>
        </w:rPr>
        <w:t>1.2.1.</w:t>
      </w:r>
      <w:r w:rsidRPr="00864C1D">
        <w:rPr>
          <w:rFonts w:ascii="Bookman Old Style" w:eastAsia="Arial" w:hAnsi="Bookman Old Style" w:cs="Arial"/>
          <w:b/>
          <w:bCs/>
          <w:color w:val="000000"/>
          <w:sz w:val="24"/>
          <w:szCs w:val="24"/>
        </w:rPr>
        <w:t xml:space="preserve"> Quantidade estimada de cartões</w:t>
      </w:r>
      <w:r w:rsidRPr="00864C1D">
        <w:rPr>
          <w:rFonts w:ascii="Bookman Old Style" w:eastAsia="Arial" w:hAnsi="Bookman Old Style" w:cs="Arial"/>
          <w:color w:val="000000"/>
          <w:sz w:val="24"/>
          <w:szCs w:val="24"/>
        </w:rPr>
        <w:t xml:space="preserve"> (podendo haver variações para mais ou para menos todos os meses, de acordo com o ingresso ou saída de servidores</w:t>
      </w:r>
      <w:r w:rsidR="00E13C1B">
        <w:rPr>
          <w:rFonts w:ascii="Bookman Old Style" w:eastAsia="Arial" w:hAnsi="Bookman Old Style" w:cs="Arial"/>
          <w:color w:val="000000"/>
          <w:sz w:val="24"/>
          <w:szCs w:val="24"/>
        </w:rPr>
        <w:t>, bem como a validação de quem estará elegível ao recebimento, de acordo com a lei municipal que concede o benefício</w:t>
      </w:r>
      <w:r w:rsidRPr="00864C1D">
        <w:rPr>
          <w:rFonts w:ascii="Bookman Old Style" w:eastAsia="Arial" w:hAnsi="Bookman Old Style" w:cs="Arial"/>
          <w:color w:val="000000"/>
          <w:sz w:val="24"/>
          <w:szCs w:val="24"/>
        </w:rPr>
        <w:t>):</w:t>
      </w:r>
    </w:p>
    <w:tbl>
      <w:tblPr>
        <w:tblW w:w="903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3"/>
        <w:gridCol w:w="5416"/>
        <w:gridCol w:w="1559"/>
        <w:gridCol w:w="1276"/>
      </w:tblGrid>
      <w:tr w:rsidR="00475945" w:rsidRPr="00864C1D" w14:paraId="6F3094DB" w14:textId="77777777" w:rsidTr="005F14EE">
        <w:trPr>
          <w:cantSplit/>
          <w:tblHeader/>
        </w:trPr>
        <w:tc>
          <w:tcPr>
            <w:tcW w:w="783" w:type="dxa"/>
            <w:vAlign w:val="center"/>
          </w:tcPr>
          <w:p w14:paraId="1A806D32" w14:textId="77777777" w:rsidR="00475945" w:rsidRPr="00676E4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676E4E">
              <w:rPr>
                <w:rFonts w:ascii="Arial Nova Cond Light" w:eastAsia="Arial" w:hAnsi="Arial Nova Cond Light" w:cs="Arial"/>
                <w:b/>
                <w:color w:val="000000"/>
                <w:sz w:val="20"/>
                <w:szCs w:val="20"/>
              </w:rPr>
              <w:lastRenderedPageBreak/>
              <w:t>ITEM</w:t>
            </w:r>
          </w:p>
        </w:tc>
        <w:tc>
          <w:tcPr>
            <w:tcW w:w="5416" w:type="dxa"/>
            <w:vAlign w:val="center"/>
          </w:tcPr>
          <w:p w14:paraId="4BE9CC23" w14:textId="77777777" w:rsidR="00475945" w:rsidRPr="00676E4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676E4E">
              <w:rPr>
                <w:rFonts w:ascii="Arial Nova Cond Light" w:eastAsia="Arial" w:hAnsi="Arial Nova Cond Light" w:cs="Arial"/>
                <w:b/>
                <w:color w:val="000000"/>
                <w:sz w:val="20"/>
                <w:szCs w:val="20"/>
              </w:rPr>
              <w:t>ESPECIFICAÇÃO</w:t>
            </w:r>
          </w:p>
        </w:tc>
        <w:tc>
          <w:tcPr>
            <w:tcW w:w="1559" w:type="dxa"/>
            <w:vAlign w:val="center"/>
          </w:tcPr>
          <w:p w14:paraId="634944A9" w14:textId="77777777" w:rsidR="00475945" w:rsidRPr="00676E4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676E4E">
              <w:rPr>
                <w:rFonts w:ascii="Arial Nova Cond Light" w:eastAsia="Arial" w:hAnsi="Arial Nova Cond Light" w:cs="Arial"/>
                <w:b/>
                <w:color w:val="000000"/>
                <w:sz w:val="20"/>
                <w:szCs w:val="20"/>
              </w:rPr>
              <w:t>UNID. DE MEDIDA</w:t>
            </w:r>
          </w:p>
        </w:tc>
        <w:tc>
          <w:tcPr>
            <w:tcW w:w="1276" w:type="dxa"/>
            <w:vAlign w:val="center"/>
          </w:tcPr>
          <w:p w14:paraId="0CDC0175" w14:textId="0033936B" w:rsidR="00475945" w:rsidRPr="00676E4E" w:rsidRDefault="00475945" w:rsidP="001435E6">
            <w:pPr>
              <w:pBdr>
                <w:top w:val="nil"/>
                <w:left w:val="nil"/>
                <w:bottom w:val="nil"/>
                <w:right w:val="nil"/>
                <w:between w:val="nil"/>
              </w:pBdr>
              <w:spacing w:after="120" w:line="240" w:lineRule="auto"/>
              <w:jc w:val="center"/>
              <w:rPr>
                <w:rFonts w:ascii="Arial Nova Cond Light" w:eastAsia="Arial" w:hAnsi="Arial Nova Cond Light" w:cs="Arial"/>
                <w:b/>
                <w:color w:val="000000"/>
                <w:sz w:val="20"/>
                <w:szCs w:val="20"/>
              </w:rPr>
            </w:pPr>
            <w:r w:rsidRPr="00676E4E">
              <w:rPr>
                <w:rFonts w:ascii="Arial Nova Cond Light" w:eastAsia="Arial" w:hAnsi="Arial Nova Cond Light" w:cs="Arial"/>
                <w:b/>
                <w:color w:val="000000"/>
                <w:sz w:val="20"/>
                <w:szCs w:val="20"/>
              </w:rPr>
              <w:t>QUANT</w:t>
            </w:r>
            <w:r w:rsidR="00676E4E">
              <w:rPr>
                <w:rFonts w:ascii="Arial Nova Cond Light" w:eastAsia="Arial" w:hAnsi="Arial Nova Cond Light" w:cs="Arial"/>
                <w:b/>
                <w:color w:val="000000"/>
                <w:sz w:val="20"/>
                <w:szCs w:val="20"/>
              </w:rPr>
              <w:t>IDADE INICIAL ESTIMADA</w:t>
            </w:r>
          </w:p>
        </w:tc>
      </w:tr>
      <w:tr w:rsidR="00475945" w:rsidRPr="00864C1D" w14:paraId="2DE2656C" w14:textId="77777777" w:rsidTr="005F14EE">
        <w:trPr>
          <w:cantSplit/>
          <w:tblHeader/>
        </w:trPr>
        <w:tc>
          <w:tcPr>
            <w:tcW w:w="783" w:type="dxa"/>
          </w:tcPr>
          <w:p w14:paraId="341374A8" w14:textId="5F1B1859" w:rsidR="00475945" w:rsidRPr="00864C1D" w:rsidRDefault="00911DEF" w:rsidP="001435E6">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eastAsia="Arial" w:hAnsi="Bookman Old Style" w:cs="Arial"/>
                <w:color w:val="000000"/>
                <w:sz w:val="24"/>
                <w:szCs w:val="24"/>
              </w:rPr>
              <w:t>1</w:t>
            </w:r>
          </w:p>
        </w:tc>
        <w:tc>
          <w:tcPr>
            <w:tcW w:w="5416" w:type="dxa"/>
          </w:tcPr>
          <w:p w14:paraId="696F118B" w14:textId="6D36E752" w:rsidR="00475945" w:rsidRPr="00864C1D" w:rsidRDefault="00475945" w:rsidP="001435E6">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Times New Roman" w:hAnsi="Bookman Old Style"/>
                <w:color w:val="000000"/>
                <w:sz w:val="24"/>
                <w:szCs w:val="24"/>
              </w:rPr>
              <w:t xml:space="preserve">Cartão Eletrônico Magnético para fornecimento de auxílio alimentação aos servidores </w:t>
            </w:r>
            <w:r w:rsidR="00676E4E">
              <w:rPr>
                <w:rFonts w:ascii="Bookman Old Style" w:eastAsia="Times New Roman" w:hAnsi="Bookman Old Style"/>
                <w:color w:val="000000"/>
                <w:sz w:val="24"/>
                <w:szCs w:val="24"/>
              </w:rPr>
              <w:t>das diversas secretarias do Município de Cordilheira Alta SC</w:t>
            </w:r>
          </w:p>
        </w:tc>
        <w:tc>
          <w:tcPr>
            <w:tcW w:w="1559" w:type="dxa"/>
          </w:tcPr>
          <w:p w14:paraId="6500EA65" w14:textId="77777777" w:rsidR="00475945" w:rsidRPr="00864C1D" w:rsidRDefault="00475945" w:rsidP="001435E6">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Cartão (1 para cada servidor)</w:t>
            </w:r>
          </w:p>
        </w:tc>
        <w:tc>
          <w:tcPr>
            <w:tcW w:w="1276" w:type="dxa"/>
          </w:tcPr>
          <w:p w14:paraId="6F2D09EB" w14:textId="3090DC67" w:rsidR="00475945" w:rsidRPr="00864C1D" w:rsidRDefault="00475945" w:rsidP="001435E6">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w:t>
            </w:r>
            <w:r w:rsidR="00676E4E">
              <w:rPr>
                <w:rFonts w:ascii="Bookman Old Style" w:eastAsia="Arial" w:hAnsi="Bookman Old Style" w:cs="Arial"/>
                <w:color w:val="000000"/>
                <w:sz w:val="24"/>
                <w:szCs w:val="24"/>
              </w:rPr>
              <w:t>235</w:t>
            </w:r>
          </w:p>
        </w:tc>
      </w:tr>
      <w:tr w:rsidR="00911DEF" w:rsidRPr="00864C1D" w14:paraId="7D000976" w14:textId="77777777" w:rsidTr="005F14EE">
        <w:trPr>
          <w:cantSplit/>
          <w:tblHeader/>
        </w:trPr>
        <w:tc>
          <w:tcPr>
            <w:tcW w:w="783" w:type="dxa"/>
          </w:tcPr>
          <w:p w14:paraId="7CA4336A" w14:textId="6E4CB3C8" w:rsidR="00911DEF"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eastAsia="Arial" w:hAnsi="Bookman Old Style" w:cs="Arial"/>
                <w:color w:val="000000"/>
                <w:sz w:val="24"/>
                <w:szCs w:val="24"/>
              </w:rPr>
              <w:t>2</w:t>
            </w:r>
          </w:p>
        </w:tc>
        <w:tc>
          <w:tcPr>
            <w:tcW w:w="5416" w:type="dxa"/>
          </w:tcPr>
          <w:p w14:paraId="42556D3B" w14:textId="3D9ED0BE" w:rsidR="00911DEF" w:rsidRPr="00864C1D" w:rsidRDefault="00911DEF" w:rsidP="00911DEF">
            <w:pPr>
              <w:pBdr>
                <w:top w:val="nil"/>
                <w:left w:val="nil"/>
                <w:bottom w:val="nil"/>
                <w:right w:val="nil"/>
                <w:between w:val="nil"/>
              </w:pBdr>
              <w:spacing w:after="120" w:line="240" w:lineRule="auto"/>
              <w:rPr>
                <w:rFonts w:ascii="Bookman Old Style" w:eastAsia="Times New Roman" w:hAnsi="Bookman Old Style"/>
                <w:color w:val="000000"/>
                <w:sz w:val="24"/>
                <w:szCs w:val="24"/>
              </w:rPr>
            </w:pPr>
            <w:r w:rsidRPr="00864C1D">
              <w:rPr>
                <w:rFonts w:ascii="Bookman Old Style" w:eastAsia="Times New Roman" w:hAnsi="Bookman Old Style"/>
                <w:color w:val="000000"/>
                <w:sz w:val="24"/>
                <w:szCs w:val="24"/>
              </w:rPr>
              <w:t>Cartão Eletrônico Magnético para fornecimento de auxílio alimentação aos servidores do Fundo Municipal de Saúde</w:t>
            </w:r>
            <w:r>
              <w:rPr>
                <w:rFonts w:ascii="Bookman Old Style" w:eastAsia="Times New Roman" w:hAnsi="Bookman Old Style"/>
                <w:color w:val="000000"/>
                <w:sz w:val="24"/>
                <w:szCs w:val="24"/>
              </w:rPr>
              <w:t xml:space="preserve"> de Cordilheira Alta SC</w:t>
            </w:r>
          </w:p>
        </w:tc>
        <w:tc>
          <w:tcPr>
            <w:tcW w:w="1559" w:type="dxa"/>
          </w:tcPr>
          <w:p w14:paraId="624C56DC" w14:textId="10BAD381"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Cartão (1 para cada servidor)</w:t>
            </w:r>
          </w:p>
        </w:tc>
        <w:tc>
          <w:tcPr>
            <w:tcW w:w="1276" w:type="dxa"/>
          </w:tcPr>
          <w:p w14:paraId="25AD1B60" w14:textId="6A50C477"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50</w:t>
            </w:r>
          </w:p>
        </w:tc>
      </w:tr>
      <w:tr w:rsidR="00911DEF" w:rsidRPr="00864C1D" w14:paraId="32FA68AC" w14:textId="77777777" w:rsidTr="005F14EE">
        <w:trPr>
          <w:cantSplit/>
          <w:tblHeader/>
        </w:trPr>
        <w:tc>
          <w:tcPr>
            <w:tcW w:w="783" w:type="dxa"/>
          </w:tcPr>
          <w:p w14:paraId="0994C160" w14:textId="09AAA50F"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Pr>
                <w:rFonts w:ascii="Bookman Old Style" w:eastAsia="Arial" w:hAnsi="Bookman Old Style" w:cs="Arial"/>
                <w:color w:val="000000"/>
                <w:sz w:val="24"/>
                <w:szCs w:val="24"/>
              </w:rPr>
              <w:t>3</w:t>
            </w:r>
          </w:p>
        </w:tc>
        <w:tc>
          <w:tcPr>
            <w:tcW w:w="5416" w:type="dxa"/>
          </w:tcPr>
          <w:p w14:paraId="2ACB262A" w14:textId="523B2474" w:rsidR="00911DEF" w:rsidRPr="00864C1D" w:rsidRDefault="00911DEF" w:rsidP="00911DEF">
            <w:pPr>
              <w:pBdr>
                <w:top w:val="nil"/>
                <w:left w:val="nil"/>
                <w:bottom w:val="nil"/>
                <w:right w:val="nil"/>
                <w:between w:val="nil"/>
              </w:pBdr>
              <w:spacing w:after="120" w:line="240" w:lineRule="auto"/>
              <w:rPr>
                <w:rFonts w:ascii="Bookman Old Style" w:eastAsia="Times New Roman" w:hAnsi="Bookman Old Style"/>
                <w:color w:val="000000"/>
                <w:sz w:val="24"/>
                <w:szCs w:val="24"/>
              </w:rPr>
            </w:pPr>
            <w:r w:rsidRPr="00864C1D">
              <w:rPr>
                <w:rFonts w:ascii="Bookman Old Style" w:eastAsia="Times New Roman" w:hAnsi="Bookman Old Style"/>
                <w:color w:val="000000"/>
                <w:sz w:val="24"/>
                <w:szCs w:val="24"/>
              </w:rPr>
              <w:t xml:space="preserve">Cartão Eletrônico Magnético para fornecimento de auxílio alimentação aos servidores da </w:t>
            </w:r>
            <w:r>
              <w:rPr>
                <w:rFonts w:ascii="Bookman Old Style" w:eastAsia="Times New Roman" w:hAnsi="Bookman Old Style"/>
                <w:color w:val="000000"/>
                <w:sz w:val="24"/>
                <w:szCs w:val="24"/>
              </w:rPr>
              <w:t>Câmara Municipal de Cordilheira Alta SC</w:t>
            </w:r>
          </w:p>
        </w:tc>
        <w:tc>
          <w:tcPr>
            <w:tcW w:w="1559" w:type="dxa"/>
          </w:tcPr>
          <w:p w14:paraId="4E83EC21" w14:textId="41F265DC"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Cartão (1 para cada servidor)</w:t>
            </w:r>
          </w:p>
        </w:tc>
        <w:tc>
          <w:tcPr>
            <w:tcW w:w="1276" w:type="dxa"/>
          </w:tcPr>
          <w:p w14:paraId="360683C8" w14:textId="0B3A7C19" w:rsidR="00911DEF" w:rsidRPr="00864C1D" w:rsidRDefault="00911DEF" w:rsidP="00911DEF">
            <w:pPr>
              <w:pBdr>
                <w:top w:val="nil"/>
                <w:left w:val="nil"/>
                <w:bottom w:val="nil"/>
                <w:right w:val="nil"/>
                <w:between w:val="nil"/>
              </w:pBdr>
              <w:spacing w:after="120" w:line="240" w:lineRule="auto"/>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5</w:t>
            </w:r>
          </w:p>
        </w:tc>
      </w:tr>
    </w:tbl>
    <w:p w14:paraId="6159AD2F"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855D2D1" w14:textId="77777777" w:rsidR="00475945" w:rsidRPr="00864C1D" w:rsidRDefault="00475945" w:rsidP="00475945">
      <w:pPr>
        <w:numPr>
          <w:ilvl w:val="1"/>
          <w:numId w:val="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Natureza do Objeto:</w:t>
      </w:r>
    </w:p>
    <w:p w14:paraId="1F85879A" w14:textId="77777777" w:rsidR="00475945" w:rsidRPr="00864C1D" w:rsidRDefault="00475945" w:rsidP="00475945">
      <w:pPr>
        <w:numPr>
          <w:ilvl w:val="2"/>
          <w:numId w:val="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Os bens objeto desta contratação são caracterizados como comuns, conforme justificativa descrita no Estudo Técnico Preliminar.</w:t>
      </w:r>
    </w:p>
    <w:p w14:paraId="60AFD318" w14:textId="77777777" w:rsidR="00475945" w:rsidRPr="00864C1D" w:rsidRDefault="00475945" w:rsidP="00475945">
      <w:pPr>
        <w:numPr>
          <w:ilvl w:val="1"/>
          <w:numId w:val="7"/>
        </w:numPr>
        <w:pBdr>
          <w:top w:val="nil"/>
          <w:left w:val="nil"/>
          <w:bottom w:val="nil"/>
          <w:right w:val="nil"/>
          <w:between w:val="nil"/>
        </w:pBdr>
        <w:spacing w:after="120" w:line="240" w:lineRule="auto"/>
        <w:ind w:left="0" w:firstLine="0"/>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Prazo de Contratação e índice de reajustamento:</w:t>
      </w:r>
    </w:p>
    <w:p w14:paraId="544229BE" w14:textId="5549F15C" w:rsidR="00475945" w:rsidRPr="004559BE" w:rsidRDefault="004559BE" w:rsidP="004559BE">
      <w:pPr>
        <w:pStyle w:val="PargrafodaLista"/>
        <w:numPr>
          <w:ilvl w:val="2"/>
          <w:numId w:val="7"/>
        </w:numPr>
        <w:ind w:left="0" w:firstLine="0"/>
        <w:jc w:val="both"/>
        <w:rPr>
          <w:rFonts w:ascii="Bookman Old Style" w:eastAsia="Arial" w:hAnsi="Bookman Old Style" w:cs="Arial"/>
          <w:bCs/>
          <w:sz w:val="24"/>
          <w:szCs w:val="24"/>
        </w:rPr>
      </w:pPr>
      <w:r w:rsidRPr="004559BE">
        <w:rPr>
          <w:rFonts w:ascii="Bookman Old Style" w:eastAsia="Arial" w:hAnsi="Bookman Old Style" w:cs="Arial"/>
          <w:bCs/>
          <w:sz w:val="24"/>
          <w:szCs w:val="24"/>
        </w:rPr>
        <w:t>Prazo de vigência da contratação é de 12 meses</w:t>
      </w:r>
      <w:r w:rsidR="00815418">
        <w:rPr>
          <w:rFonts w:ascii="Bookman Old Style" w:eastAsia="Arial" w:hAnsi="Bookman Old Style" w:cs="Arial"/>
          <w:bCs/>
          <w:sz w:val="24"/>
          <w:szCs w:val="24"/>
        </w:rPr>
        <w:t>,</w:t>
      </w:r>
      <w:r w:rsidRPr="004559BE">
        <w:rPr>
          <w:rFonts w:ascii="Bookman Old Style" w:eastAsia="Arial" w:hAnsi="Bookman Old Style" w:cs="Arial"/>
          <w:bCs/>
          <w:sz w:val="24"/>
          <w:szCs w:val="24"/>
        </w:rPr>
        <w:t xml:space="preserve"> contado da data de assinatura do contrato</w:t>
      </w:r>
      <w:r w:rsidR="00815418">
        <w:rPr>
          <w:rFonts w:ascii="Bookman Old Style" w:eastAsia="Arial" w:hAnsi="Bookman Old Style" w:cs="Arial"/>
          <w:bCs/>
          <w:sz w:val="24"/>
          <w:szCs w:val="24"/>
        </w:rPr>
        <w:t xml:space="preserve">, prorrogável por até 10 anos, </w:t>
      </w:r>
      <w:r w:rsidRPr="004559BE">
        <w:rPr>
          <w:rFonts w:ascii="Bookman Old Style" w:eastAsia="Arial" w:hAnsi="Bookman Old Style" w:cs="Arial"/>
          <w:bCs/>
          <w:sz w:val="24"/>
          <w:szCs w:val="24"/>
        </w:rPr>
        <w:t>na forma do</w:t>
      </w:r>
      <w:r w:rsidR="00815418">
        <w:rPr>
          <w:rFonts w:ascii="Bookman Old Style" w:eastAsia="Arial" w:hAnsi="Bookman Old Style" w:cs="Arial"/>
          <w:bCs/>
          <w:sz w:val="24"/>
          <w:szCs w:val="24"/>
        </w:rPr>
        <w:t>s</w:t>
      </w:r>
      <w:r w:rsidRPr="004559BE">
        <w:rPr>
          <w:rFonts w:ascii="Bookman Old Style" w:eastAsia="Arial" w:hAnsi="Bookman Old Style" w:cs="Arial"/>
          <w:bCs/>
          <w:sz w:val="24"/>
          <w:szCs w:val="24"/>
        </w:rPr>
        <w:t xml:space="preserve"> artigo</w:t>
      </w:r>
      <w:r w:rsidR="00815418">
        <w:rPr>
          <w:rFonts w:ascii="Bookman Old Style" w:eastAsia="Arial" w:hAnsi="Bookman Old Style" w:cs="Arial"/>
          <w:bCs/>
          <w:sz w:val="24"/>
          <w:szCs w:val="24"/>
        </w:rPr>
        <w:t>s</w:t>
      </w:r>
      <w:r w:rsidRPr="004559BE">
        <w:rPr>
          <w:rFonts w:ascii="Bookman Old Style" w:eastAsia="Arial" w:hAnsi="Bookman Old Style" w:cs="Arial"/>
          <w:bCs/>
          <w:sz w:val="24"/>
          <w:szCs w:val="24"/>
        </w:rPr>
        <w:t xml:space="preserve"> 10</w:t>
      </w:r>
      <w:r w:rsidR="00815418">
        <w:rPr>
          <w:rFonts w:ascii="Bookman Old Style" w:eastAsia="Arial" w:hAnsi="Bookman Old Style" w:cs="Arial"/>
          <w:bCs/>
          <w:sz w:val="24"/>
          <w:szCs w:val="24"/>
        </w:rPr>
        <w:t>6 e 107</w:t>
      </w:r>
      <w:r w:rsidRPr="004559BE">
        <w:rPr>
          <w:rFonts w:ascii="Bookman Old Style" w:eastAsia="Arial" w:hAnsi="Bookman Old Style" w:cs="Arial"/>
          <w:bCs/>
          <w:sz w:val="24"/>
          <w:szCs w:val="24"/>
        </w:rPr>
        <w:t xml:space="preserve"> da Lei n° 14.133</w:t>
      </w:r>
      <w:r w:rsidR="00815418">
        <w:rPr>
          <w:rFonts w:ascii="Bookman Old Style" w:eastAsia="Arial" w:hAnsi="Bookman Old Style" w:cs="Arial"/>
          <w:bCs/>
          <w:sz w:val="24"/>
          <w:szCs w:val="24"/>
        </w:rPr>
        <w:t>/</w:t>
      </w:r>
      <w:r w:rsidRPr="004559BE">
        <w:rPr>
          <w:rFonts w:ascii="Bookman Old Style" w:eastAsia="Arial" w:hAnsi="Bookman Old Style" w:cs="Arial"/>
          <w:bCs/>
          <w:sz w:val="24"/>
          <w:szCs w:val="24"/>
        </w:rPr>
        <w:t xml:space="preserve">2021. </w:t>
      </w:r>
    </w:p>
    <w:p w14:paraId="094838B1" w14:textId="3E34C34F" w:rsidR="00475945" w:rsidRPr="00864C1D" w:rsidRDefault="00475945" w:rsidP="00475945">
      <w:pPr>
        <w:numPr>
          <w:ilvl w:val="2"/>
          <w:numId w:val="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Os valores estimados nesta contratação poderão ser reajustados, para mais ou menos, de acordo com </w:t>
      </w:r>
      <w:r w:rsidRPr="00864C1D">
        <w:rPr>
          <w:rFonts w:ascii="Bookman Old Style" w:eastAsia="Arial" w:hAnsi="Bookman Old Style" w:cs="Arial"/>
          <w:sz w:val="24"/>
          <w:szCs w:val="24"/>
        </w:rPr>
        <w:t xml:space="preserve">o </w:t>
      </w:r>
      <w:r w:rsidRPr="00864C1D">
        <w:rPr>
          <w:rFonts w:ascii="Bookman Old Style" w:eastAsia="Arial" w:hAnsi="Bookman Old Style" w:cs="Arial"/>
          <w:color w:val="000000"/>
          <w:sz w:val="24"/>
          <w:szCs w:val="24"/>
        </w:rPr>
        <w:t xml:space="preserve">IPCA, divulgado pelo IBGE, ou pelo índice que venha a substituí-lo, nos termos </w:t>
      </w:r>
      <w:r w:rsidR="00815418">
        <w:rPr>
          <w:rFonts w:ascii="Bookman Old Style" w:eastAsia="Arial" w:hAnsi="Bookman Old Style" w:cs="Arial"/>
          <w:color w:val="000000"/>
          <w:sz w:val="24"/>
          <w:szCs w:val="24"/>
        </w:rPr>
        <w:t>do contrato.</w:t>
      </w:r>
    </w:p>
    <w:p w14:paraId="32B38989"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2CB01F31"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JUSTIFICATIVA E DESCRIÇÃO DA NECESSIDADE DA CONTRATAÇÃO</w:t>
      </w:r>
    </w:p>
    <w:p w14:paraId="7BA96D25"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2DCD162F" w14:textId="71B0B435" w:rsidR="00475945" w:rsidRPr="00864C1D" w:rsidRDefault="00475945" w:rsidP="00475945">
      <w:pPr>
        <w:numPr>
          <w:ilvl w:val="1"/>
          <w:numId w:val="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 Fundamentação da </w:t>
      </w:r>
      <w:r w:rsidRPr="00864C1D">
        <w:rPr>
          <w:rFonts w:ascii="Bookman Old Style" w:eastAsia="Arial" w:hAnsi="Bookman Old Style" w:cs="Arial"/>
          <w:sz w:val="24"/>
          <w:szCs w:val="24"/>
        </w:rPr>
        <w:t>c</w:t>
      </w:r>
      <w:r w:rsidRPr="00864C1D">
        <w:rPr>
          <w:rFonts w:ascii="Bookman Old Style" w:eastAsia="Arial" w:hAnsi="Bookman Old Style" w:cs="Arial"/>
          <w:color w:val="000000"/>
          <w:sz w:val="24"/>
          <w:szCs w:val="24"/>
        </w:rPr>
        <w:t>ontratação encontra-se pormenorizada nos Estudos Técnicos Preliminares.</w:t>
      </w:r>
    </w:p>
    <w:p w14:paraId="2FD8D8B9"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2CFF0E45"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DESCRIÇÃO DA SOLUÇÃO, CONSIDERANDO TODO O CICLO DE VIDA DO OBJETO</w:t>
      </w:r>
    </w:p>
    <w:p w14:paraId="4FD33778"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7503DE97" w14:textId="22FE42A7" w:rsidR="00475945" w:rsidRPr="00864C1D" w:rsidRDefault="00475945" w:rsidP="00475945">
      <w:pPr>
        <w:numPr>
          <w:ilvl w:val="1"/>
          <w:numId w:val="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A descrição da solução como um todo se encontra pormenorizada nos Estudos Técnicos Preliminares.</w:t>
      </w:r>
    </w:p>
    <w:p w14:paraId="307F4B8E"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1E825470"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lastRenderedPageBreak/>
        <w:t>REQUISITOS DA CONTRATAÇÃO</w:t>
      </w:r>
    </w:p>
    <w:p w14:paraId="08EE1BF7"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31B38CF3" w14:textId="77777777" w:rsidR="00475945" w:rsidRPr="00864C1D" w:rsidRDefault="00475945" w:rsidP="00475945">
      <w:pPr>
        <w:numPr>
          <w:ilvl w:val="1"/>
          <w:numId w:val="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Exigências de Amostra</w:t>
      </w:r>
    </w:p>
    <w:p w14:paraId="50332549"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eastAsia="Arial" w:hAnsi="Bookman Old Style" w:cs="Arial"/>
          <w:iCs/>
          <w:color w:val="000000"/>
          <w:sz w:val="24"/>
          <w:szCs w:val="24"/>
        </w:rPr>
        <w:t>Não serão exigidas amostras.</w:t>
      </w:r>
    </w:p>
    <w:p w14:paraId="552A47A5" w14:textId="77777777" w:rsidR="00475945" w:rsidRPr="00864C1D" w:rsidRDefault="00475945" w:rsidP="00475945">
      <w:pPr>
        <w:numPr>
          <w:ilvl w:val="1"/>
          <w:numId w:val="8"/>
        </w:numPr>
        <w:pBdr>
          <w:top w:val="nil"/>
          <w:left w:val="nil"/>
          <w:bottom w:val="nil"/>
          <w:right w:val="nil"/>
          <w:between w:val="nil"/>
        </w:pBdr>
        <w:spacing w:after="120" w:line="240" w:lineRule="auto"/>
        <w:ind w:left="0" w:firstLine="0"/>
        <w:jc w:val="both"/>
        <w:rPr>
          <w:rFonts w:ascii="Bookman Old Style" w:eastAsia="Arial" w:hAnsi="Bookman Old Style" w:cs="Arial"/>
          <w:i/>
          <w:iCs/>
          <w:color w:val="000000"/>
          <w:sz w:val="24"/>
          <w:szCs w:val="24"/>
        </w:rPr>
      </w:pPr>
      <w:r w:rsidRPr="00864C1D">
        <w:rPr>
          <w:rFonts w:ascii="Bookman Old Style" w:eastAsia="Arial" w:hAnsi="Bookman Old Style" w:cs="Arial"/>
          <w:color w:val="000000"/>
          <w:sz w:val="24"/>
          <w:szCs w:val="24"/>
        </w:rPr>
        <w:t>Subcontratação</w:t>
      </w:r>
    </w:p>
    <w:p w14:paraId="520B74E2" w14:textId="77777777" w:rsidR="00475945" w:rsidRPr="00815418"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15418">
        <w:rPr>
          <w:rFonts w:ascii="Bookman Old Style" w:eastAsia="Arial" w:hAnsi="Bookman Old Style" w:cs="Arial"/>
          <w:color w:val="000000"/>
          <w:sz w:val="24"/>
          <w:szCs w:val="24"/>
        </w:rPr>
        <w:t>Não será admitida a subcontratação do objeto contratual</w:t>
      </w:r>
    </w:p>
    <w:p w14:paraId="1C8FEA2E" w14:textId="77777777" w:rsidR="00475945" w:rsidRPr="00864C1D" w:rsidRDefault="00475945" w:rsidP="00475945">
      <w:pPr>
        <w:numPr>
          <w:ilvl w:val="1"/>
          <w:numId w:val="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Garantia da Contratação</w:t>
      </w:r>
    </w:p>
    <w:p w14:paraId="5817A5A6"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eastAsia="Arial" w:hAnsi="Bookman Old Style" w:cs="Arial"/>
          <w:iCs/>
          <w:color w:val="000000"/>
          <w:sz w:val="24"/>
          <w:szCs w:val="24"/>
        </w:rPr>
        <w:t>Não haverá exigência da garantia da contratação.</w:t>
      </w:r>
    </w:p>
    <w:p w14:paraId="1E3AC153" w14:textId="77777777" w:rsidR="00475945" w:rsidRPr="00864C1D" w:rsidRDefault="00475945" w:rsidP="00475945">
      <w:pPr>
        <w:numPr>
          <w:ilvl w:val="1"/>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eastAsia="Arial" w:hAnsi="Bookman Old Style" w:cs="Arial"/>
          <w:iCs/>
          <w:color w:val="000000"/>
          <w:sz w:val="24"/>
          <w:szCs w:val="24"/>
        </w:rPr>
        <w:t>Demais requisitos do objeto:</w:t>
      </w:r>
    </w:p>
    <w:p w14:paraId="4F1755D5" w14:textId="6571C302"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O benefício será disponibilizado na modalidade </w:t>
      </w:r>
      <w:r w:rsidR="00815418">
        <w:rPr>
          <w:rFonts w:ascii="Bookman Old Style" w:hAnsi="Bookman Old Style"/>
          <w:sz w:val="24"/>
          <w:szCs w:val="24"/>
        </w:rPr>
        <w:t xml:space="preserve">Auxílio </w:t>
      </w:r>
      <w:r w:rsidRPr="00864C1D">
        <w:rPr>
          <w:rFonts w:ascii="Bookman Old Style" w:hAnsi="Bookman Old Style"/>
          <w:sz w:val="24"/>
          <w:szCs w:val="24"/>
        </w:rPr>
        <w:t xml:space="preserve">Alimentação, em meio eletrônico, cartão magnético ou de similar tecnologia, para aquisição de gêneros alimentícios de primeira necessidade, in natura, em estabelecimentos comerciais credenciados (hipermercado, supermercado, armazém, mercearia, açougue, peixaria, </w:t>
      </w:r>
      <w:proofErr w:type="spellStart"/>
      <w:r w:rsidRPr="00864C1D">
        <w:rPr>
          <w:rFonts w:ascii="Bookman Old Style" w:hAnsi="Bookman Old Style"/>
          <w:sz w:val="24"/>
          <w:szCs w:val="24"/>
        </w:rPr>
        <w:t>hortimercado</w:t>
      </w:r>
      <w:proofErr w:type="spellEnd"/>
      <w:r w:rsidRPr="00864C1D">
        <w:rPr>
          <w:rFonts w:ascii="Bookman Old Style" w:hAnsi="Bookman Old Style"/>
          <w:sz w:val="24"/>
          <w:szCs w:val="24"/>
        </w:rPr>
        <w:t xml:space="preserve">, comércio de laticínios e/ou frios e outros). </w:t>
      </w:r>
    </w:p>
    <w:p w14:paraId="4D44AD8F"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Os cartões, deverão ser fornecidos com senha individual, nominais aos beneficiários que a Contratante indicar, para crédito dos benefícios de assistência alimentar e débitos conforme utilização em estabelecimentos conveniados; </w:t>
      </w:r>
    </w:p>
    <w:p w14:paraId="5EC33757" w14:textId="738693C6"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O cartão deverá conter o “nome do beneficiário” e o </w:t>
      </w:r>
      <w:r w:rsidR="00815418">
        <w:rPr>
          <w:rFonts w:ascii="Bookman Old Style" w:hAnsi="Bookman Old Style"/>
          <w:sz w:val="24"/>
          <w:szCs w:val="24"/>
        </w:rPr>
        <w:t>“</w:t>
      </w:r>
      <w:r w:rsidRPr="00864C1D">
        <w:rPr>
          <w:rFonts w:ascii="Bookman Old Style" w:hAnsi="Bookman Old Style"/>
          <w:sz w:val="24"/>
          <w:szCs w:val="24"/>
        </w:rPr>
        <w:t>nome d</w:t>
      </w:r>
      <w:r w:rsidR="00815418">
        <w:rPr>
          <w:rFonts w:ascii="Bookman Old Style" w:hAnsi="Bookman Old Style"/>
          <w:sz w:val="24"/>
          <w:szCs w:val="24"/>
        </w:rPr>
        <w:t>a entidade contratante</w:t>
      </w:r>
      <w:r w:rsidRPr="00864C1D">
        <w:rPr>
          <w:rFonts w:ascii="Bookman Old Style" w:hAnsi="Bookman Old Style"/>
          <w:sz w:val="24"/>
          <w:szCs w:val="24"/>
        </w:rPr>
        <w:t>”, além da identificação de “Auxílio Alimentação”.</w:t>
      </w:r>
    </w:p>
    <w:p w14:paraId="022EF022"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Os dados cadastrais iniciais dos beneficiários (nome, CPF, valor de carga, local de entrega dos cartões), bem como quaisquer informações necessárias para emissão do(s) cartão(</w:t>
      </w:r>
      <w:proofErr w:type="spellStart"/>
      <w:r w:rsidRPr="00864C1D">
        <w:rPr>
          <w:rFonts w:ascii="Bookman Old Style" w:hAnsi="Bookman Old Style"/>
          <w:sz w:val="24"/>
          <w:szCs w:val="24"/>
        </w:rPr>
        <w:t>ões</w:t>
      </w:r>
      <w:proofErr w:type="spellEnd"/>
      <w:r w:rsidRPr="00864C1D">
        <w:rPr>
          <w:rFonts w:ascii="Bookman Old Style" w:hAnsi="Bookman Old Style"/>
          <w:sz w:val="24"/>
          <w:szCs w:val="24"/>
        </w:rPr>
        <w:t>), serão disponibilizados para a contratada através de arquivo a ser enviado por e-mail informado pela Contratada.</w:t>
      </w:r>
    </w:p>
    <w:p w14:paraId="5DBEEE90"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A primeira emissão de cartões será feita no prazo de 10 (dez) dias corridos contados a partir do envio da Solicitação de fornecimento. A contratada deverá informar de imediato quais informações necessárias para a confecção dos cartões.</w:t>
      </w:r>
    </w:p>
    <w:p w14:paraId="00D2FC96"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A inclusão de novos beneficiários poderá ser efetuada a qualquer tempo pela Contratante, à sua Autarquia ou às suas Fundações, diretamente no site da contratada ou juntamente com o arquivo de pedidos mensal, devendo, em qualquer caso, as informações serem carregadas para a base de dados da contratada, de forma automática, permanecendo à disposição da Contratante, à sua Autarquia ou às suas Fundações para consultas e/ou alterações; </w:t>
      </w:r>
    </w:p>
    <w:p w14:paraId="3930AAAF"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Os custos de emissão, fornecimento e entrega dos cartões, assim como os de manutenção do sistema informatizado e quaisquer outras despesas, deverão estar inclusos na taxa de administração contratada, não implicando quaisquer ônus extras para a Contratante, à sua Autarquia ou às suas Fundações ou para os beneficiários; </w:t>
      </w:r>
    </w:p>
    <w:p w14:paraId="1B10CB27"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Fornecimento de segunda via dos cartões em caso de perda, furto, extravio ou desgaste natural, no prazo máximo de 10 (dez) dias úteis, com a devida transferência do saldo remanescente de benefício para o novo cartão; </w:t>
      </w:r>
    </w:p>
    <w:p w14:paraId="6E4E525C" w14:textId="77777777" w:rsidR="00475945" w:rsidRPr="00864C1D" w:rsidRDefault="00475945" w:rsidP="00475945">
      <w:pPr>
        <w:numPr>
          <w:ilvl w:val="2"/>
          <w:numId w:val="8"/>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Será admitida a cobrança de taxa para reemissão de cartão, no valor máximo de R$ 6,00 (seis reais) por cartão, devendo neste caso, a Contratada reter tal valor na recarga imediatamente posterior a emissão a qual deverá constar no extrato como “EMISSÃO DE SEGUNDA VIA”; </w:t>
      </w:r>
    </w:p>
    <w:p w14:paraId="4DBA804B" w14:textId="77777777" w:rsidR="00475945" w:rsidRPr="00864C1D"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A contratada deverá fornecer aos beneficiários todas as orientações e instruções sobre o benefício e sobre a utilização dos cartões; </w:t>
      </w:r>
    </w:p>
    <w:p w14:paraId="06D8943E" w14:textId="77777777" w:rsidR="00475945" w:rsidRPr="00864C1D"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A contratada obrigar-se-á a manter padrão de qualidade e segurança no processo de impressão, crédito nos cartões e disponibilização de senhas, a fim de evitar qualquer tipo de falsificação ou fraude; </w:t>
      </w:r>
    </w:p>
    <w:p w14:paraId="3DBBBD94" w14:textId="77777777" w:rsidR="00475945" w:rsidRPr="009F5BF0"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A validade do cartão será de no mínimo 01 (um) ano a contar da data de emissão; </w:t>
      </w:r>
    </w:p>
    <w:p w14:paraId="6664B34D" w14:textId="77777777" w:rsidR="00475945" w:rsidRPr="00864C1D"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Pr>
          <w:rFonts w:ascii="Bookman Old Style" w:eastAsia="Arial" w:hAnsi="Bookman Old Style" w:cs="Arial"/>
          <w:iCs/>
          <w:color w:val="000000"/>
          <w:sz w:val="24"/>
          <w:szCs w:val="24"/>
        </w:rPr>
        <w:t>Deverá p</w:t>
      </w:r>
      <w:r w:rsidRPr="009F5BF0">
        <w:rPr>
          <w:rFonts w:ascii="Bookman Old Style" w:eastAsia="Arial" w:hAnsi="Bookman Old Style" w:cs="Arial"/>
          <w:iCs/>
          <w:color w:val="000000"/>
          <w:sz w:val="24"/>
          <w:szCs w:val="24"/>
        </w:rPr>
        <w:t>ossibilita</w:t>
      </w:r>
      <w:r>
        <w:rPr>
          <w:rFonts w:ascii="Bookman Old Style" w:eastAsia="Arial" w:hAnsi="Bookman Old Style" w:cs="Arial"/>
          <w:iCs/>
          <w:color w:val="000000"/>
          <w:sz w:val="24"/>
          <w:szCs w:val="24"/>
        </w:rPr>
        <w:t>r o</w:t>
      </w:r>
      <w:r w:rsidRPr="009F5BF0">
        <w:rPr>
          <w:rFonts w:ascii="Bookman Old Style" w:eastAsia="Arial" w:hAnsi="Bookman Old Style" w:cs="Arial"/>
          <w:iCs/>
          <w:color w:val="000000"/>
          <w:sz w:val="24"/>
          <w:szCs w:val="24"/>
        </w:rPr>
        <w:t xml:space="preserve"> acumulo de valores não gastos no mês para ser utilizado em meses posteriores.</w:t>
      </w:r>
    </w:p>
    <w:p w14:paraId="403F7753" w14:textId="77777777" w:rsidR="00475945" w:rsidRPr="00864C1D"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A entrega de cartões deverá ocorrer no seguinte endereço: Prefeitura Municipal de Cordilheira Alta, Rua Celso Tozzo 27, Centro, Cordilheira Alta SC.</w:t>
      </w:r>
    </w:p>
    <w:p w14:paraId="5DD189A3" w14:textId="77777777" w:rsidR="00475945" w:rsidRPr="00864C1D" w:rsidRDefault="00475945" w:rsidP="00475945">
      <w:pPr>
        <w:numPr>
          <w:ilvl w:val="2"/>
          <w:numId w:val="8"/>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Funcionalidades disponíveis aos beneficiários: </w:t>
      </w:r>
    </w:p>
    <w:p w14:paraId="4A9A0DED" w14:textId="77777777" w:rsidR="00475945" w:rsidRPr="00864C1D" w:rsidRDefault="00475945" w:rsidP="00475945">
      <w:pPr>
        <w:pStyle w:val="Default"/>
        <w:ind w:left="720"/>
        <w:jc w:val="both"/>
        <w:rPr>
          <w:rFonts w:ascii="Bookman Old Style" w:hAnsi="Bookman Old Style"/>
        </w:rPr>
      </w:pPr>
      <w:r w:rsidRPr="00864C1D">
        <w:rPr>
          <w:rFonts w:ascii="Bookman Old Style" w:hAnsi="Bookman Old Style"/>
        </w:rPr>
        <w:t xml:space="preserve">a) Alteração de senha; </w:t>
      </w:r>
    </w:p>
    <w:p w14:paraId="13152387" w14:textId="77777777" w:rsidR="00475945" w:rsidRPr="00864C1D" w:rsidRDefault="00475945" w:rsidP="00475945">
      <w:pPr>
        <w:pStyle w:val="Default"/>
        <w:ind w:left="720"/>
        <w:jc w:val="both"/>
        <w:rPr>
          <w:rFonts w:ascii="Bookman Old Style" w:hAnsi="Bookman Old Style"/>
        </w:rPr>
      </w:pPr>
      <w:r w:rsidRPr="00864C1D">
        <w:rPr>
          <w:rFonts w:ascii="Bookman Old Style" w:hAnsi="Bookman Old Style"/>
        </w:rPr>
        <w:t xml:space="preserve">b) Bloqueio de cartão; </w:t>
      </w:r>
    </w:p>
    <w:p w14:paraId="2D00B122" w14:textId="77777777" w:rsidR="00475945" w:rsidRPr="00864C1D" w:rsidRDefault="00475945" w:rsidP="00475945">
      <w:pPr>
        <w:pStyle w:val="Default"/>
        <w:ind w:left="720"/>
        <w:jc w:val="both"/>
        <w:rPr>
          <w:rFonts w:ascii="Bookman Old Style" w:hAnsi="Bookman Old Style"/>
        </w:rPr>
      </w:pPr>
      <w:r w:rsidRPr="00864C1D">
        <w:rPr>
          <w:rFonts w:ascii="Bookman Old Style" w:hAnsi="Bookman Old Style"/>
        </w:rPr>
        <w:t xml:space="preserve">c) Solicitação de reemissão de cartão; </w:t>
      </w:r>
    </w:p>
    <w:p w14:paraId="0E983CF2" w14:textId="77777777" w:rsidR="00475945" w:rsidRPr="008A30ED" w:rsidRDefault="00475945" w:rsidP="00475945">
      <w:pPr>
        <w:pStyle w:val="Default"/>
        <w:ind w:left="720"/>
        <w:jc w:val="both"/>
        <w:rPr>
          <w:rFonts w:ascii="Bookman Old Style" w:hAnsi="Bookman Old Style"/>
        </w:rPr>
      </w:pPr>
      <w:r w:rsidRPr="00864C1D">
        <w:rPr>
          <w:rFonts w:ascii="Bookman Old Style" w:hAnsi="Bookman Old Style"/>
        </w:rPr>
        <w:t xml:space="preserve">d) Emissão de extrato detalhado com a data, valor dos créditos e </w:t>
      </w:r>
      <w:r w:rsidRPr="008A30ED">
        <w:rPr>
          <w:rFonts w:ascii="Bookman Old Style" w:hAnsi="Bookman Old Style"/>
        </w:rPr>
        <w:t xml:space="preserve">dos débitos e locais de utilização; </w:t>
      </w:r>
    </w:p>
    <w:p w14:paraId="0166D05B" w14:textId="77777777" w:rsidR="00475945" w:rsidRPr="008A30ED" w:rsidRDefault="00475945" w:rsidP="00475945">
      <w:pPr>
        <w:pStyle w:val="Default"/>
        <w:ind w:left="720"/>
        <w:jc w:val="both"/>
        <w:rPr>
          <w:rFonts w:ascii="Bookman Old Style" w:hAnsi="Bookman Old Style"/>
        </w:rPr>
      </w:pPr>
      <w:r w:rsidRPr="008A30ED">
        <w:rPr>
          <w:rFonts w:ascii="Bookman Old Style" w:hAnsi="Bookman Old Style"/>
        </w:rPr>
        <w:t>e) Consulta e emissão de relação atualizada da rede de estabelecimentos conveniados.</w:t>
      </w:r>
    </w:p>
    <w:p w14:paraId="6777501D" w14:textId="1AC0FC10" w:rsidR="00D17A8B" w:rsidRPr="00AD1138" w:rsidRDefault="005F14EE" w:rsidP="005F14EE">
      <w:pPr>
        <w:pBdr>
          <w:top w:val="nil"/>
          <w:left w:val="nil"/>
          <w:bottom w:val="nil"/>
          <w:right w:val="nil"/>
          <w:between w:val="nil"/>
        </w:pBdr>
        <w:tabs>
          <w:tab w:val="left" w:pos="993"/>
        </w:tabs>
        <w:spacing w:after="120" w:line="240" w:lineRule="auto"/>
        <w:jc w:val="both"/>
        <w:rPr>
          <w:rFonts w:ascii="Bookman Old Style" w:eastAsia="Arial" w:hAnsi="Bookman Old Style" w:cs="Arial"/>
          <w:iCs/>
          <w:color w:val="000000"/>
          <w:sz w:val="24"/>
          <w:szCs w:val="24"/>
          <w:highlight w:val="green"/>
        </w:rPr>
      </w:pPr>
      <w:r>
        <w:rPr>
          <w:rFonts w:ascii="Bookman Old Style" w:hAnsi="Bookman Old Style"/>
          <w:sz w:val="24"/>
          <w:szCs w:val="24"/>
        </w:rPr>
        <w:t xml:space="preserve">4.4.16. </w:t>
      </w:r>
      <w:r w:rsidR="00475945" w:rsidRPr="005F14EE">
        <w:rPr>
          <w:rFonts w:ascii="Bookman Old Style" w:hAnsi="Bookman Old Style"/>
          <w:sz w:val="24"/>
          <w:szCs w:val="24"/>
        </w:rPr>
        <w:t>A disponibilização</w:t>
      </w:r>
      <w:r w:rsidR="00475945" w:rsidRPr="008A30ED">
        <w:rPr>
          <w:rFonts w:ascii="Bookman Old Style" w:hAnsi="Bookman Old Style"/>
          <w:sz w:val="24"/>
          <w:szCs w:val="24"/>
        </w:rPr>
        <w:t xml:space="preserve"> dos créditos nos cartões dos beneficiários deverá ser efetuada em até 02 (dois) dias úteis após a solicitação </w:t>
      </w:r>
      <w:r w:rsidR="00C36CE9" w:rsidRPr="008A30ED">
        <w:rPr>
          <w:rFonts w:ascii="Bookman Old Style" w:hAnsi="Bookman Old Style"/>
          <w:sz w:val="24"/>
          <w:szCs w:val="24"/>
        </w:rPr>
        <w:t xml:space="preserve">feita </w:t>
      </w:r>
      <w:r w:rsidR="00475945" w:rsidRPr="008A30ED">
        <w:rPr>
          <w:rFonts w:ascii="Bookman Old Style" w:hAnsi="Bookman Old Style"/>
          <w:sz w:val="24"/>
          <w:szCs w:val="24"/>
        </w:rPr>
        <w:t>pela Contratante, à sua Autarquia ou às suas Fundações</w:t>
      </w:r>
      <w:r w:rsidR="00C36CE9" w:rsidRPr="008A30ED">
        <w:rPr>
          <w:rFonts w:ascii="Bookman Old Style" w:hAnsi="Bookman Old Style"/>
          <w:sz w:val="24"/>
          <w:szCs w:val="24"/>
        </w:rPr>
        <w:t>, a qual irá repassar a lista com o nome dos beneficiários e os respectivos valores</w:t>
      </w:r>
      <w:r w:rsidR="00AD1138" w:rsidRPr="008A30ED">
        <w:rPr>
          <w:rFonts w:ascii="Bookman Old Style" w:hAnsi="Bookman Old Style"/>
          <w:sz w:val="24"/>
          <w:szCs w:val="24"/>
        </w:rPr>
        <w:t xml:space="preserve"> individuais</w:t>
      </w:r>
      <w:r w:rsidR="00C36CE9" w:rsidRPr="008A30ED">
        <w:rPr>
          <w:rFonts w:ascii="Bookman Old Style" w:hAnsi="Bookman Old Style"/>
          <w:sz w:val="24"/>
          <w:szCs w:val="24"/>
        </w:rPr>
        <w:t>, para cada mês</w:t>
      </w:r>
      <w:r w:rsidR="008A30ED" w:rsidRPr="008A30ED">
        <w:rPr>
          <w:rFonts w:ascii="Bookman Old Style" w:hAnsi="Bookman Old Style"/>
          <w:sz w:val="24"/>
          <w:szCs w:val="24"/>
        </w:rPr>
        <w:t>, por e-mail indicado pela Contratada</w:t>
      </w:r>
      <w:r w:rsidR="00475945" w:rsidRPr="008A30ED">
        <w:rPr>
          <w:rFonts w:ascii="Bookman Old Style" w:hAnsi="Bookman Old Style"/>
          <w:sz w:val="24"/>
          <w:szCs w:val="24"/>
        </w:rPr>
        <w:t>.</w:t>
      </w:r>
      <w:r w:rsidR="00475945" w:rsidRPr="00AD1138">
        <w:rPr>
          <w:rFonts w:ascii="Bookman Old Style" w:hAnsi="Bookman Old Style"/>
          <w:sz w:val="24"/>
          <w:szCs w:val="24"/>
          <w:highlight w:val="green"/>
        </w:rPr>
        <w:t xml:space="preserve"> </w:t>
      </w:r>
    </w:p>
    <w:p w14:paraId="0EF6597B" w14:textId="54A1ED5D" w:rsidR="00475945" w:rsidRPr="00864C1D" w:rsidRDefault="003E7603" w:rsidP="003E7603">
      <w:pPr>
        <w:pBdr>
          <w:top w:val="nil"/>
          <w:left w:val="nil"/>
          <w:bottom w:val="nil"/>
          <w:right w:val="nil"/>
          <w:between w:val="nil"/>
        </w:pBdr>
        <w:tabs>
          <w:tab w:val="left" w:pos="993"/>
        </w:tabs>
        <w:spacing w:after="120" w:line="240" w:lineRule="auto"/>
        <w:jc w:val="both"/>
        <w:rPr>
          <w:rFonts w:ascii="Bookman Old Style" w:eastAsia="Arial" w:hAnsi="Bookman Old Style" w:cs="Arial"/>
          <w:iCs/>
          <w:color w:val="000000"/>
          <w:sz w:val="24"/>
          <w:szCs w:val="24"/>
        </w:rPr>
      </w:pPr>
      <w:r>
        <w:rPr>
          <w:rFonts w:ascii="Bookman Old Style" w:hAnsi="Bookman Old Style"/>
          <w:sz w:val="24"/>
          <w:szCs w:val="24"/>
        </w:rPr>
        <w:t xml:space="preserve">4.4.16.1. </w:t>
      </w:r>
      <w:r w:rsidR="00475945" w:rsidRPr="00864C1D">
        <w:rPr>
          <w:rFonts w:ascii="Bookman Old Style" w:hAnsi="Bookman Old Style"/>
          <w:sz w:val="24"/>
          <w:szCs w:val="24"/>
        </w:rPr>
        <w:t xml:space="preserve">Os débitos no saldo de benefícios dos cartões devem ocorrer de forma automática, a partir da utilização nos estabelecimentos conveniados; </w:t>
      </w:r>
    </w:p>
    <w:p w14:paraId="1BD36B19" w14:textId="614B4668" w:rsidR="00475945" w:rsidRPr="003E7603" w:rsidRDefault="00475945" w:rsidP="003E7603">
      <w:pPr>
        <w:pStyle w:val="PargrafodaLista"/>
        <w:numPr>
          <w:ilvl w:val="2"/>
          <w:numId w:val="30"/>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3E7603">
        <w:rPr>
          <w:rFonts w:ascii="Bookman Old Style" w:hAnsi="Bookman Old Style"/>
          <w:sz w:val="24"/>
          <w:szCs w:val="24"/>
        </w:rPr>
        <w:t xml:space="preserve">A contratada deverá disponibilizar serviços de atendimento ao cliente (SAC) 24 (vinte e quatro) horas, via telefone com discagem direta gratuita, ou via sítio eletrônico ou via aplicativo de celular para bloqueio e desbloqueio de cartões e consulta de saldo; </w:t>
      </w:r>
    </w:p>
    <w:p w14:paraId="18C06664" w14:textId="77777777" w:rsidR="00475945" w:rsidRPr="00864C1D" w:rsidRDefault="00475945" w:rsidP="003E7603">
      <w:pPr>
        <w:numPr>
          <w:ilvl w:val="2"/>
          <w:numId w:val="30"/>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 xml:space="preserve">A contratada deverá manter rede de estabelecimentos credenciados e ativos para a aceitação dos cartões nas modalidades, localidades e quantidades mínimas abaixo discriminadas, </w:t>
      </w:r>
      <w:r w:rsidRPr="00864C1D">
        <w:rPr>
          <w:rFonts w:ascii="Bookman Old Style" w:hAnsi="Bookman Old Style"/>
          <w:b/>
          <w:bCs/>
          <w:sz w:val="24"/>
          <w:szCs w:val="24"/>
        </w:rPr>
        <w:t>QUE DEVERÁ SER COMPROVADO NO ATO DA ASSINATURA DO CONTRATO:</w:t>
      </w:r>
    </w:p>
    <w:p w14:paraId="7AE3E61F" w14:textId="5D45A0E7" w:rsidR="009C4308" w:rsidRPr="00864C1D" w:rsidRDefault="009C4308" w:rsidP="009C4308">
      <w:pPr>
        <w:numPr>
          <w:ilvl w:val="0"/>
          <w:numId w:val="29"/>
        </w:numPr>
        <w:spacing w:after="120" w:line="240" w:lineRule="auto"/>
        <w:ind w:left="714" w:hanging="357"/>
        <w:jc w:val="both"/>
        <w:rPr>
          <w:rFonts w:ascii="Bookman Old Style" w:hAnsi="Bookman Old Style"/>
          <w:bCs/>
          <w:sz w:val="24"/>
          <w:szCs w:val="24"/>
        </w:rPr>
      </w:pPr>
      <w:r>
        <w:rPr>
          <w:rFonts w:ascii="Bookman Old Style" w:hAnsi="Bookman Old Style"/>
          <w:bCs/>
          <w:sz w:val="24"/>
          <w:szCs w:val="24"/>
        </w:rPr>
        <w:t>A contratada deverá manter a quantidade mínima de 3 (três) estabelecimentos conveniados/credenciados no município de Cordilheira Alta SC, mínimo 10 (dez) estabelecimentos no município de Chapecó SC e no mínimo 3 (três) estabelecimentos em cada um dos demais municípios da região</w:t>
      </w:r>
      <w:r w:rsidR="00C366EA">
        <w:rPr>
          <w:rFonts w:ascii="Bookman Old Style" w:hAnsi="Bookman Old Style"/>
          <w:bCs/>
          <w:sz w:val="24"/>
          <w:szCs w:val="24"/>
        </w:rPr>
        <w:t xml:space="preserve"> metropolitana de Chapecó</w:t>
      </w:r>
      <w:r>
        <w:rPr>
          <w:rFonts w:ascii="Bookman Old Style" w:hAnsi="Bookman Old Style"/>
          <w:bCs/>
          <w:sz w:val="24"/>
          <w:szCs w:val="24"/>
        </w:rPr>
        <w:t>.</w:t>
      </w:r>
    </w:p>
    <w:p w14:paraId="263326C2" w14:textId="68AC7D69" w:rsidR="00475945" w:rsidRPr="00864C1D" w:rsidRDefault="00475945" w:rsidP="003E7603">
      <w:pPr>
        <w:numPr>
          <w:ilvl w:val="2"/>
          <w:numId w:val="30"/>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A empresa declarada vencedora não poderá cobrar taxas dos estabelecimentos para credencia</w:t>
      </w:r>
      <w:r w:rsidR="00815418">
        <w:rPr>
          <w:rFonts w:ascii="Bookman Old Style" w:hAnsi="Bookman Old Style"/>
          <w:sz w:val="24"/>
          <w:szCs w:val="24"/>
        </w:rPr>
        <w:t>mento</w:t>
      </w:r>
      <w:r w:rsidRPr="00864C1D">
        <w:rPr>
          <w:rFonts w:ascii="Bookman Old Style" w:hAnsi="Bookman Old Style"/>
          <w:sz w:val="24"/>
          <w:szCs w:val="24"/>
        </w:rPr>
        <w:t xml:space="preserve">. Se </w:t>
      </w:r>
      <w:r w:rsidR="00815418">
        <w:rPr>
          <w:rFonts w:ascii="Bookman Old Style" w:hAnsi="Bookman Old Style"/>
          <w:sz w:val="24"/>
          <w:szCs w:val="24"/>
        </w:rPr>
        <w:t xml:space="preserve">essa cobrança </w:t>
      </w:r>
      <w:r w:rsidRPr="00864C1D">
        <w:rPr>
          <w:rFonts w:ascii="Bookman Old Style" w:hAnsi="Bookman Old Style"/>
          <w:sz w:val="24"/>
          <w:szCs w:val="24"/>
        </w:rPr>
        <w:t>for de conhecimento comprovado pel</w:t>
      </w:r>
      <w:r w:rsidR="00815418">
        <w:rPr>
          <w:rFonts w:ascii="Bookman Old Style" w:hAnsi="Bookman Old Style"/>
          <w:sz w:val="24"/>
          <w:szCs w:val="24"/>
        </w:rPr>
        <w:t>o</w:t>
      </w:r>
      <w:r w:rsidRPr="00864C1D">
        <w:rPr>
          <w:rFonts w:ascii="Bookman Old Style" w:hAnsi="Bookman Old Style"/>
          <w:sz w:val="24"/>
          <w:szCs w:val="24"/>
        </w:rPr>
        <w:t xml:space="preserve"> </w:t>
      </w:r>
      <w:r w:rsidR="00815418">
        <w:rPr>
          <w:rFonts w:ascii="Bookman Old Style" w:hAnsi="Bookman Old Style"/>
          <w:sz w:val="24"/>
          <w:szCs w:val="24"/>
        </w:rPr>
        <w:t>c</w:t>
      </w:r>
      <w:r w:rsidRPr="00864C1D">
        <w:rPr>
          <w:rFonts w:ascii="Bookman Old Style" w:hAnsi="Bookman Old Style"/>
          <w:sz w:val="24"/>
          <w:szCs w:val="24"/>
        </w:rPr>
        <w:t xml:space="preserve">ontratante, </w:t>
      </w:r>
      <w:r w:rsidR="00815418">
        <w:rPr>
          <w:rFonts w:ascii="Bookman Old Style" w:hAnsi="Bookman Old Style"/>
          <w:sz w:val="24"/>
          <w:szCs w:val="24"/>
        </w:rPr>
        <w:t>a empresa fica suscetível</w:t>
      </w:r>
      <w:r w:rsidRPr="00864C1D">
        <w:rPr>
          <w:rFonts w:ascii="Bookman Old Style" w:hAnsi="Bookman Old Style"/>
          <w:sz w:val="24"/>
          <w:szCs w:val="24"/>
        </w:rPr>
        <w:t xml:space="preserve"> </w:t>
      </w:r>
      <w:r w:rsidR="00815418">
        <w:rPr>
          <w:rFonts w:ascii="Bookman Old Style" w:hAnsi="Bookman Old Style"/>
          <w:sz w:val="24"/>
          <w:szCs w:val="24"/>
        </w:rPr>
        <w:t>à</w:t>
      </w:r>
      <w:r w:rsidRPr="00864C1D">
        <w:rPr>
          <w:rFonts w:ascii="Bookman Old Style" w:hAnsi="Bookman Old Style"/>
          <w:sz w:val="24"/>
          <w:szCs w:val="24"/>
        </w:rPr>
        <w:t xml:space="preserve">s sanções contidas </w:t>
      </w:r>
      <w:r w:rsidR="00815418">
        <w:rPr>
          <w:rFonts w:ascii="Bookman Old Style" w:hAnsi="Bookman Old Style"/>
          <w:sz w:val="24"/>
          <w:szCs w:val="24"/>
        </w:rPr>
        <w:t>no</w:t>
      </w:r>
      <w:r w:rsidRPr="00864C1D">
        <w:rPr>
          <w:rFonts w:ascii="Bookman Old Style" w:hAnsi="Bookman Old Style"/>
          <w:sz w:val="24"/>
          <w:szCs w:val="24"/>
        </w:rPr>
        <w:t xml:space="preserve"> edital</w:t>
      </w:r>
      <w:r w:rsidR="00815418">
        <w:rPr>
          <w:rFonts w:ascii="Bookman Old Style" w:hAnsi="Bookman Old Style"/>
          <w:sz w:val="24"/>
          <w:szCs w:val="24"/>
        </w:rPr>
        <w:t xml:space="preserve"> ou contrato</w:t>
      </w:r>
      <w:r w:rsidRPr="00864C1D">
        <w:rPr>
          <w:rFonts w:ascii="Bookman Old Style" w:hAnsi="Bookman Old Style"/>
          <w:sz w:val="24"/>
          <w:szCs w:val="24"/>
        </w:rPr>
        <w:t xml:space="preserve">. </w:t>
      </w:r>
    </w:p>
    <w:p w14:paraId="1362A3C4" w14:textId="77777777" w:rsidR="00475945" w:rsidRPr="00864C1D" w:rsidRDefault="00475945" w:rsidP="003E7603">
      <w:pPr>
        <w:numPr>
          <w:ilvl w:val="2"/>
          <w:numId w:val="30"/>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sz w:val="24"/>
          <w:szCs w:val="24"/>
        </w:rPr>
        <w:t>A contratada deverá permitir credenciamento, a qualquer tempo, de estabelecimentos comerciais na região de abrangência.</w:t>
      </w:r>
    </w:p>
    <w:p w14:paraId="4A314E06" w14:textId="77777777" w:rsidR="00475945" w:rsidRPr="00864C1D" w:rsidRDefault="00475945" w:rsidP="003E7603">
      <w:pPr>
        <w:numPr>
          <w:ilvl w:val="2"/>
          <w:numId w:val="30"/>
        </w:numPr>
        <w:pBdr>
          <w:top w:val="nil"/>
          <w:left w:val="nil"/>
          <w:bottom w:val="nil"/>
          <w:right w:val="nil"/>
          <w:between w:val="nil"/>
        </w:pBdr>
        <w:tabs>
          <w:tab w:val="left" w:pos="993"/>
        </w:tabs>
        <w:spacing w:after="120" w:line="240" w:lineRule="auto"/>
        <w:ind w:left="0" w:firstLine="0"/>
        <w:jc w:val="both"/>
        <w:rPr>
          <w:rFonts w:ascii="Bookman Old Style" w:eastAsia="Arial" w:hAnsi="Bookman Old Style" w:cs="Arial"/>
          <w:iCs/>
          <w:color w:val="000000"/>
          <w:sz w:val="24"/>
          <w:szCs w:val="24"/>
        </w:rPr>
      </w:pPr>
      <w:r w:rsidRPr="00864C1D">
        <w:rPr>
          <w:rFonts w:ascii="Bookman Old Style" w:hAnsi="Bookman Old Style" w:cs="Helvetica"/>
          <w:color w:val="00000A"/>
          <w:sz w:val="24"/>
          <w:szCs w:val="24"/>
        </w:rPr>
        <w:t>Tanto a taxa de Administração quanto o percentual de desconto (no caso de haver) a ser aplicado sobre o volume mensal dos auxílios alimentação, serão fixos e irreajustáveis durante a vigência inicial de 12 meses do contrato, de acordo com a proposta apresentada na licitação.</w:t>
      </w:r>
    </w:p>
    <w:p w14:paraId="608B2261"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i/>
          <w:sz w:val="24"/>
          <w:szCs w:val="24"/>
        </w:rPr>
      </w:pPr>
    </w:p>
    <w:p w14:paraId="54B2DA26"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MODELO DE EXECUÇÃO DO OBJETO</w:t>
      </w:r>
    </w:p>
    <w:p w14:paraId="6C67C7C2" w14:textId="77777777" w:rsidR="00475945" w:rsidRPr="00864C1D" w:rsidRDefault="00475945" w:rsidP="002A45BF">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64674327" w14:textId="77777777" w:rsidR="00475945" w:rsidRPr="00864C1D" w:rsidRDefault="00475945" w:rsidP="00475945">
      <w:pPr>
        <w:numPr>
          <w:ilvl w:val="1"/>
          <w:numId w:val="1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Condições, prazos e local de Entrega</w:t>
      </w:r>
    </w:p>
    <w:p w14:paraId="68881BBD" w14:textId="77777777" w:rsidR="00475945" w:rsidRPr="00815418" w:rsidRDefault="00475945" w:rsidP="00475945">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O prazo de entrega dos magnéticos é de 10 (dez) dias corridos, contados da data de recebimento da autorização de fornecimento.</w:t>
      </w:r>
    </w:p>
    <w:p w14:paraId="285A63E3" w14:textId="77777777" w:rsidR="00815418" w:rsidRDefault="00475945" w:rsidP="00475945">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Os cartões magnéticos deverão ser entregues no</w:t>
      </w:r>
      <w:r w:rsidR="00815418">
        <w:rPr>
          <w:rFonts w:ascii="Bookman Old Style" w:eastAsia="Arial" w:hAnsi="Bookman Old Style" w:cs="Arial"/>
          <w:iCs/>
          <w:color w:val="000000"/>
          <w:sz w:val="24"/>
          <w:szCs w:val="24"/>
        </w:rPr>
        <w:t>s</w:t>
      </w:r>
      <w:r w:rsidRPr="00815418">
        <w:rPr>
          <w:rFonts w:ascii="Bookman Old Style" w:eastAsia="Arial" w:hAnsi="Bookman Old Style" w:cs="Arial"/>
          <w:iCs/>
          <w:color w:val="000000"/>
          <w:sz w:val="24"/>
          <w:szCs w:val="24"/>
        </w:rPr>
        <w:t xml:space="preserve"> seguinte</w:t>
      </w:r>
      <w:r w:rsidR="00815418">
        <w:rPr>
          <w:rFonts w:ascii="Bookman Old Style" w:eastAsia="Arial" w:hAnsi="Bookman Old Style" w:cs="Arial"/>
          <w:iCs/>
          <w:color w:val="000000"/>
          <w:sz w:val="24"/>
          <w:szCs w:val="24"/>
        </w:rPr>
        <w:t>s</w:t>
      </w:r>
      <w:r w:rsidRPr="00815418">
        <w:rPr>
          <w:rFonts w:ascii="Bookman Old Style" w:eastAsia="Arial" w:hAnsi="Bookman Old Style" w:cs="Arial"/>
          <w:iCs/>
          <w:color w:val="000000"/>
          <w:sz w:val="24"/>
          <w:szCs w:val="24"/>
        </w:rPr>
        <w:t xml:space="preserve"> endereço</w:t>
      </w:r>
      <w:r w:rsidR="00815418">
        <w:rPr>
          <w:rFonts w:ascii="Bookman Old Style" w:eastAsia="Arial" w:hAnsi="Bookman Old Style" w:cs="Arial"/>
          <w:iCs/>
          <w:color w:val="000000"/>
          <w:sz w:val="24"/>
          <w:szCs w:val="24"/>
        </w:rPr>
        <w:t>s</w:t>
      </w:r>
      <w:r w:rsidRPr="00815418">
        <w:rPr>
          <w:rFonts w:ascii="Bookman Old Style" w:eastAsia="Arial" w:hAnsi="Bookman Old Style" w:cs="Arial"/>
          <w:iCs/>
          <w:color w:val="000000"/>
          <w:sz w:val="24"/>
          <w:szCs w:val="24"/>
        </w:rPr>
        <w:t xml:space="preserve">: </w:t>
      </w:r>
    </w:p>
    <w:p w14:paraId="489D0311" w14:textId="641C2F95" w:rsidR="00475945" w:rsidRDefault="00815418" w:rsidP="00815418">
      <w:pPr>
        <w:pBdr>
          <w:top w:val="nil"/>
          <w:left w:val="nil"/>
          <w:bottom w:val="nil"/>
          <w:right w:val="nil"/>
          <w:between w:val="nil"/>
        </w:pBdr>
        <w:spacing w:after="120" w:line="240" w:lineRule="auto"/>
        <w:jc w:val="both"/>
        <w:rPr>
          <w:rFonts w:ascii="Bookman Old Style" w:eastAsia="Arial" w:hAnsi="Bookman Old Style" w:cs="Arial"/>
          <w:iCs/>
          <w:color w:val="000000"/>
          <w:sz w:val="24"/>
          <w:szCs w:val="24"/>
        </w:rPr>
      </w:pPr>
      <w:r>
        <w:rPr>
          <w:rFonts w:ascii="Bookman Old Style" w:eastAsia="Arial" w:hAnsi="Bookman Old Style" w:cs="Arial"/>
          <w:iCs/>
          <w:color w:val="000000"/>
          <w:sz w:val="24"/>
          <w:szCs w:val="24"/>
        </w:rPr>
        <w:t xml:space="preserve">- </w:t>
      </w:r>
      <w:r w:rsidR="00475945" w:rsidRPr="00815418">
        <w:rPr>
          <w:rFonts w:ascii="Bookman Old Style" w:eastAsia="Arial" w:hAnsi="Bookman Old Style" w:cs="Arial"/>
          <w:iCs/>
          <w:color w:val="000000"/>
          <w:sz w:val="24"/>
          <w:szCs w:val="24"/>
        </w:rPr>
        <w:t>Prefeitura Municipal de Cordilheira Alta, Rua Celso Tozzo 27, Centro, Cordilheira Alta SC.</w:t>
      </w:r>
    </w:p>
    <w:p w14:paraId="33DD68A5" w14:textId="1E500245" w:rsidR="00815418" w:rsidRPr="00815418" w:rsidRDefault="00815418" w:rsidP="00815418">
      <w:pPr>
        <w:pBdr>
          <w:top w:val="nil"/>
          <w:left w:val="nil"/>
          <w:bottom w:val="nil"/>
          <w:right w:val="nil"/>
          <w:between w:val="nil"/>
        </w:pBdr>
        <w:spacing w:after="120" w:line="240" w:lineRule="auto"/>
        <w:jc w:val="both"/>
        <w:rPr>
          <w:rFonts w:ascii="Bookman Old Style" w:eastAsia="Arial" w:hAnsi="Bookman Old Style" w:cs="Arial"/>
          <w:iCs/>
          <w:color w:val="000000"/>
          <w:sz w:val="24"/>
          <w:szCs w:val="24"/>
        </w:rPr>
      </w:pPr>
      <w:r>
        <w:rPr>
          <w:rFonts w:ascii="Bookman Old Style" w:eastAsia="Arial" w:hAnsi="Bookman Old Style" w:cs="Arial"/>
          <w:iCs/>
          <w:color w:val="000000"/>
          <w:sz w:val="24"/>
          <w:szCs w:val="24"/>
        </w:rPr>
        <w:t>- Câmara Municipal de Cordilheira Alta, situada na Av. Fermino Tozzo, 73, Centro, Cordilheira Alta.</w:t>
      </w:r>
    </w:p>
    <w:p w14:paraId="4A8B821C" w14:textId="77777777" w:rsidR="00475945" w:rsidRPr="00864C1D" w:rsidRDefault="00475945" w:rsidP="00475945">
      <w:pPr>
        <w:numPr>
          <w:ilvl w:val="1"/>
          <w:numId w:val="1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Garantia, Manutenção e Assistência técnica</w:t>
      </w:r>
      <w:r>
        <w:rPr>
          <w:rFonts w:ascii="Bookman Old Style" w:eastAsia="Arial" w:hAnsi="Bookman Old Style" w:cs="Arial"/>
          <w:color w:val="000000"/>
          <w:sz w:val="24"/>
          <w:szCs w:val="24"/>
        </w:rPr>
        <w:t>:</w:t>
      </w:r>
    </w:p>
    <w:p w14:paraId="650B4B54" w14:textId="77777777" w:rsidR="00475945" w:rsidRPr="00815418" w:rsidRDefault="00475945" w:rsidP="00475945">
      <w:pPr>
        <w:numPr>
          <w:ilvl w:val="2"/>
          <w:numId w:val="10"/>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O prazo de garantia é aquele estabelecido na Lei n.º 8.078, de 11 de setembro de 1990 (Código de Defesa do Consumidor)</w:t>
      </w:r>
    </w:p>
    <w:p w14:paraId="7D55C993" w14:textId="77777777" w:rsidR="00475945" w:rsidRPr="00864C1D" w:rsidRDefault="00475945" w:rsidP="00475945">
      <w:pPr>
        <w:pBdr>
          <w:top w:val="nil"/>
          <w:left w:val="nil"/>
          <w:bottom w:val="nil"/>
          <w:right w:val="nil"/>
          <w:between w:val="nil"/>
        </w:pBdr>
        <w:spacing w:after="0" w:line="240" w:lineRule="auto"/>
        <w:jc w:val="both"/>
        <w:rPr>
          <w:rFonts w:ascii="Bookman Old Style" w:eastAsia="Arial" w:hAnsi="Bookman Old Style" w:cs="Arial"/>
          <w:i/>
          <w:color w:val="FF0000"/>
          <w:sz w:val="24"/>
          <w:szCs w:val="24"/>
        </w:rPr>
      </w:pPr>
    </w:p>
    <w:p w14:paraId="5F231A77" w14:textId="77777777" w:rsidR="00475945"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MODELO DE GESTÃO DO CONTRATO</w:t>
      </w:r>
    </w:p>
    <w:p w14:paraId="60BB300E" w14:textId="77777777" w:rsidR="00475945" w:rsidRPr="00864C1D" w:rsidRDefault="00475945" w:rsidP="00475945">
      <w:pPr>
        <w:keepNext/>
        <w:keepLines/>
        <w:pBdr>
          <w:top w:val="nil"/>
          <w:left w:val="nil"/>
          <w:bottom w:val="nil"/>
          <w:right w:val="nil"/>
          <w:between w:val="nil"/>
        </w:pBdr>
        <w:spacing w:after="0" w:line="240" w:lineRule="auto"/>
        <w:jc w:val="both"/>
        <w:rPr>
          <w:rFonts w:ascii="Bookman Old Style" w:eastAsia="Arial" w:hAnsi="Bookman Old Style" w:cs="Arial"/>
          <w:b/>
          <w:color w:val="000000"/>
          <w:sz w:val="24"/>
          <w:szCs w:val="24"/>
        </w:rPr>
      </w:pPr>
    </w:p>
    <w:p w14:paraId="082F6759"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 contrato ou instrumento equivalente deverá ser executado fielmente pelas partes, de acordo com as cláusulas avençadas e as normas da Lei n.º 14.133, de 2021, e cada parte responderá pelas consequências de sua inexecução total ou parcial.</w:t>
      </w:r>
    </w:p>
    <w:p w14:paraId="1D9C8824"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Em caso de impedimento, ordem de paralisação ou suspensão do contrato ou instrumento equivalente, o cronograma de execução será prorrogado automaticamente pelo tempo correspondente, anotadas tais circunstâncias mediantes simples apostila.</w:t>
      </w:r>
    </w:p>
    <w:p w14:paraId="191F9982"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As comunicações entre o órgão ou entidade e a contratada devem ser realizadas por escrito sempre que o ato exigir tal formalidade, admitindo-se o uso de mensagem eletrônica para esse fim.</w:t>
      </w:r>
    </w:p>
    <w:p w14:paraId="6C50CE31"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 órgão ou entidade poderá convocar representante da empresa para adoção de providências que devam ser cumpridas de imediato.</w:t>
      </w:r>
    </w:p>
    <w:p w14:paraId="73030FF4"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788020B" w14:textId="77777777" w:rsidR="00475945" w:rsidRPr="00864C1D" w:rsidRDefault="00475945" w:rsidP="00475945">
      <w:pPr>
        <w:numPr>
          <w:ilvl w:val="1"/>
          <w:numId w:val="11"/>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Fiscalização</w:t>
      </w:r>
    </w:p>
    <w:p w14:paraId="17C34A52" w14:textId="1A061E85" w:rsidR="00475945" w:rsidRPr="00864C1D" w:rsidRDefault="00475945" w:rsidP="00475945">
      <w:pPr>
        <w:numPr>
          <w:ilvl w:val="0"/>
          <w:numId w:val="2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hAnsi="Bookman Old Style"/>
          <w:color w:val="000000"/>
          <w:sz w:val="24"/>
          <w:szCs w:val="24"/>
        </w:rPr>
        <w:t xml:space="preserve">     </w:t>
      </w:r>
      <w:r w:rsidRPr="00864C1D">
        <w:rPr>
          <w:rFonts w:ascii="Bookman Old Style" w:eastAsia="Arial" w:hAnsi="Bookman Old Style" w:cs="Arial"/>
          <w:color w:val="000000"/>
          <w:sz w:val="24"/>
          <w:szCs w:val="24"/>
        </w:rPr>
        <w:t>A execução do contrato deverá ser acompanhada e fiscalizada pelo(s) fiscal(</w:t>
      </w:r>
      <w:proofErr w:type="spellStart"/>
      <w:r w:rsidRPr="00864C1D">
        <w:rPr>
          <w:rFonts w:ascii="Bookman Old Style" w:eastAsia="Arial" w:hAnsi="Bookman Old Style" w:cs="Arial"/>
          <w:color w:val="000000"/>
          <w:sz w:val="24"/>
          <w:szCs w:val="24"/>
        </w:rPr>
        <w:t>is</w:t>
      </w:r>
      <w:proofErr w:type="spellEnd"/>
      <w:r w:rsidRPr="00864C1D">
        <w:rPr>
          <w:rFonts w:ascii="Bookman Old Style" w:eastAsia="Arial" w:hAnsi="Bookman Old Style" w:cs="Arial"/>
          <w:color w:val="000000"/>
          <w:sz w:val="24"/>
          <w:szCs w:val="24"/>
        </w:rPr>
        <w:t xml:space="preserve">) do contrato: </w:t>
      </w:r>
      <w:bookmarkStart w:id="1" w:name="_Hlk170375943"/>
      <w:r w:rsidRPr="00864C1D">
        <w:rPr>
          <w:rFonts w:ascii="Bookman Old Style" w:eastAsia="Arial" w:hAnsi="Bookman Old Style" w:cs="Arial"/>
          <w:color w:val="000000"/>
          <w:sz w:val="24"/>
          <w:szCs w:val="24"/>
        </w:rPr>
        <w:t>Rudimar Marafon, Ana Eliza Tauchert</w:t>
      </w:r>
      <w:r w:rsidR="002F4089">
        <w:rPr>
          <w:rFonts w:ascii="Bookman Old Style" w:eastAsia="Arial" w:hAnsi="Bookman Old Style" w:cs="Arial"/>
          <w:color w:val="000000"/>
          <w:sz w:val="24"/>
          <w:szCs w:val="24"/>
        </w:rPr>
        <w:t xml:space="preserve">, </w:t>
      </w:r>
      <w:r w:rsidRPr="00864C1D">
        <w:rPr>
          <w:rFonts w:ascii="Bookman Old Style" w:eastAsia="Arial" w:hAnsi="Bookman Old Style" w:cs="Arial"/>
          <w:color w:val="000000"/>
          <w:sz w:val="24"/>
          <w:szCs w:val="24"/>
        </w:rPr>
        <w:t>Flavia Cortes Garcia</w:t>
      </w:r>
      <w:bookmarkEnd w:id="1"/>
      <w:r w:rsidR="00815418">
        <w:rPr>
          <w:rFonts w:ascii="Bookman Old Style" w:eastAsia="Arial" w:hAnsi="Bookman Old Style" w:cs="Arial"/>
          <w:color w:val="000000"/>
          <w:sz w:val="24"/>
          <w:szCs w:val="24"/>
        </w:rPr>
        <w:t xml:space="preserve"> e</w:t>
      </w:r>
      <w:r w:rsidR="002F4089">
        <w:rPr>
          <w:rFonts w:ascii="Bookman Old Style" w:eastAsia="Arial" w:hAnsi="Bookman Old Style" w:cs="Arial"/>
          <w:color w:val="000000"/>
          <w:sz w:val="24"/>
          <w:szCs w:val="24"/>
        </w:rPr>
        <w:t xml:space="preserve"> Juliana </w:t>
      </w:r>
      <w:proofErr w:type="spellStart"/>
      <w:r w:rsidR="002F4089">
        <w:rPr>
          <w:rFonts w:ascii="Bookman Old Style" w:eastAsia="Arial" w:hAnsi="Bookman Old Style" w:cs="Arial"/>
          <w:color w:val="000000"/>
          <w:sz w:val="24"/>
          <w:szCs w:val="24"/>
        </w:rPr>
        <w:t>Guaragni</w:t>
      </w:r>
      <w:proofErr w:type="spellEnd"/>
      <w:r w:rsidRPr="00864C1D">
        <w:rPr>
          <w:rFonts w:ascii="Bookman Old Style" w:eastAsia="Arial" w:hAnsi="Bookman Old Style" w:cs="Arial"/>
          <w:color w:val="000000"/>
          <w:sz w:val="24"/>
          <w:szCs w:val="24"/>
        </w:rPr>
        <w:t xml:space="preserve"> e a gestão do contrato caberá a servidora Angelita Gabriel (Lei n.º 14.133, de 2021, art. 117, caput).</w:t>
      </w:r>
    </w:p>
    <w:p w14:paraId="3A06FBF7" w14:textId="77777777" w:rsidR="00475945" w:rsidRPr="00864C1D" w:rsidRDefault="00475945" w:rsidP="00475945">
      <w:pPr>
        <w:numPr>
          <w:ilvl w:val="2"/>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Cabe ao fiscal do contrato:</w:t>
      </w:r>
    </w:p>
    <w:p w14:paraId="38FCF3D8"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acompanhar a execução do contrato para que sejam cumpridas todas as condições estabelecidas no contrato, de modo a assegurar os melhores resultados para a Administração;</w:t>
      </w:r>
    </w:p>
    <w:p w14:paraId="5B237963"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anotar no histórico de gerenciamento do contrato todas as ocorrências relacionadas à execução do contrato, com a descrição do que for necessário para a regularização das faltas ou dos defeitos observados;</w:t>
      </w:r>
    </w:p>
    <w:p w14:paraId="7AF4B596"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Identificada qualquer inexatidão ou irregularidade, emitir notificações para a correção da execução do contrato, determinando prazo para a correção; </w:t>
      </w:r>
    </w:p>
    <w:p w14:paraId="18E7278B"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informar ao gestor do </w:t>
      </w:r>
      <w:r w:rsidRPr="00864C1D">
        <w:rPr>
          <w:rFonts w:ascii="Bookman Old Style" w:eastAsia="Arial" w:hAnsi="Bookman Old Style" w:cs="Arial"/>
          <w:sz w:val="24"/>
          <w:szCs w:val="24"/>
        </w:rPr>
        <w:t>contrato</w:t>
      </w:r>
      <w:r w:rsidRPr="00864C1D">
        <w:rPr>
          <w:rFonts w:ascii="Bookman Old Style" w:eastAsia="Arial" w:hAnsi="Bookman Old Style" w:cs="Arial"/>
          <w:color w:val="000000"/>
          <w:sz w:val="24"/>
          <w:szCs w:val="24"/>
        </w:rPr>
        <w:t>, em tempo hábil, a situação que demandar decisão ou adoção de medidas que ultrapassem sua competência, para que adote as medidas necessárias e saneadoras, se for o caso;</w:t>
      </w:r>
    </w:p>
    <w:p w14:paraId="76E4B045"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No caso de ocorrências que possam inviabilizar a execução do contrato nas datas aprazadas, comunicar o fato imediatamente ao gestor do contrato;</w:t>
      </w:r>
    </w:p>
    <w:p w14:paraId="3E4B50C9"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comunicar ao gestor do contrato, em tempo hábil, o término do contrato sob sua responsabilidade, com vistas à renovação tempestiva ou à prorrogação contratual;</w:t>
      </w:r>
    </w:p>
    <w:p w14:paraId="6A670376" w14:textId="77777777" w:rsidR="00475945" w:rsidRPr="00864C1D" w:rsidRDefault="00475945" w:rsidP="00475945">
      <w:pPr>
        <w:numPr>
          <w:ilvl w:val="0"/>
          <w:numId w:val="20"/>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verificar a manutenção das condições de habilitação da contratada, acompanhará o empenho, o pagamento, as garantias, as glosas e a formalização de apostilamento e termos aditivos, solicitando quaisquer documentos comprobatórios pertinentes, caso necessário.</w:t>
      </w:r>
    </w:p>
    <w:p w14:paraId="0CFCBAE9" w14:textId="77777777" w:rsidR="00475945" w:rsidRPr="00864C1D" w:rsidRDefault="00475945" w:rsidP="00475945">
      <w:pPr>
        <w:numPr>
          <w:ilvl w:val="2"/>
          <w:numId w:val="2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Cabe ao Gestor do Contrato</w:t>
      </w:r>
    </w:p>
    <w:p w14:paraId="569B257B"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8F9B94D"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acompanhar os registros realizados pelo fiscal do contrato, de todas as ocorrências relacionadas à execução do contrato e as medidas adotadas, informando, se for o caso, à autoridade superior àquelas que ultrapassarem a sua competência;</w:t>
      </w:r>
    </w:p>
    <w:p w14:paraId="3F467BBD"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acompanhar a manutenção das condições de habilitação da contratada, para fins de empenho de despesa e pagamento, e anotar os problemas que </w:t>
      </w:r>
      <w:r w:rsidRPr="00864C1D">
        <w:rPr>
          <w:rFonts w:ascii="Bookman Old Style" w:eastAsia="Arial" w:hAnsi="Bookman Old Style" w:cs="Arial"/>
          <w:sz w:val="24"/>
          <w:szCs w:val="24"/>
        </w:rPr>
        <w:t>obstam</w:t>
      </w:r>
      <w:r w:rsidRPr="00864C1D">
        <w:rPr>
          <w:rFonts w:ascii="Bookman Old Style" w:eastAsia="Arial" w:hAnsi="Bookman Old Style" w:cs="Arial"/>
          <w:color w:val="000000"/>
          <w:sz w:val="24"/>
          <w:szCs w:val="24"/>
        </w:rPr>
        <w:t xml:space="preserve"> o fluxo normal da liquidação e do pagamento da despesa no relatório de riscos eventuais;</w:t>
      </w:r>
    </w:p>
    <w:p w14:paraId="0E05E76B"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emitir documento comprobatório da avaliação realizada pelo fiscal de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38B9A9D"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DB728FD"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elaborar relatório final com informações sobre a consecução dos objetivos que tenham justificado a contratação e eventuais condutas a serem adotadas para o aprimoramento das atividades da Administração; </w:t>
      </w:r>
    </w:p>
    <w:p w14:paraId="26AC5558" w14:textId="77777777" w:rsidR="00475945" w:rsidRPr="00864C1D" w:rsidRDefault="00475945" w:rsidP="00475945">
      <w:pPr>
        <w:numPr>
          <w:ilvl w:val="0"/>
          <w:numId w:val="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enviar a documentação pertinente ao setor de contratos para a formalização dos procedimentos de liquidação e pagamento, no valor dimensionado pela fiscalização e gestão nos termos do contrato.</w:t>
      </w:r>
    </w:p>
    <w:p w14:paraId="3C52C5F2"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E809880"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CRITÉRIOS DE RECEBIMENTO E DE PAGAMENTO</w:t>
      </w:r>
    </w:p>
    <w:p w14:paraId="36673A32"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313065E2" w14:textId="77777777" w:rsidR="00475945" w:rsidRPr="00864C1D" w:rsidRDefault="00475945" w:rsidP="0047594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Recebimento Provisório e Definitivo.</w:t>
      </w:r>
    </w:p>
    <w:p w14:paraId="28C16126" w14:textId="7D60DDA8"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i/>
          <w:sz w:val="24"/>
          <w:szCs w:val="24"/>
        </w:rPr>
        <w:t xml:space="preserve">     </w:t>
      </w:r>
      <w:r w:rsidRPr="00864C1D">
        <w:rPr>
          <w:rFonts w:ascii="Bookman Old Style" w:eastAsia="Arial" w:hAnsi="Bookman Old Style" w:cs="Arial"/>
          <w:sz w:val="24"/>
          <w:szCs w:val="24"/>
        </w:rPr>
        <w:t xml:space="preserve">Os </w:t>
      </w:r>
      <w:r w:rsidR="00D509A5">
        <w:rPr>
          <w:rFonts w:ascii="Bookman Old Style" w:eastAsia="Arial" w:hAnsi="Bookman Old Style" w:cs="Arial"/>
          <w:sz w:val="24"/>
          <w:szCs w:val="24"/>
        </w:rPr>
        <w:t>serviços</w:t>
      </w:r>
      <w:r w:rsidRPr="00864C1D">
        <w:rPr>
          <w:rFonts w:ascii="Bookman Old Style" w:eastAsia="Arial" w:hAnsi="Bookman Old Style" w:cs="Arial"/>
          <w:sz w:val="24"/>
          <w:szCs w:val="24"/>
        </w:rPr>
        <w:t xml:space="preserve">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DB8C4AD" w14:textId="1AF01B26"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 xml:space="preserve">Os </w:t>
      </w:r>
      <w:r w:rsidR="00D509A5">
        <w:rPr>
          <w:rFonts w:ascii="Bookman Old Style" w:eastAsia="Arial" w:hAnsi="Bookman Old Style" w:cs="Arial"/>
          <w:sz w:val="24"/>
          <w:szCs w:val="24"/>
        </w:rPr>
        <w:t>serviços</w:t>
      </w:r>
      <w:r w:rsidRPr="00864C1D">
        <w:rPr>
          <w:rFonts w:ascii="Bookman Old Style" w:eastAsia="Arial" w:hAnsi="Bookman Old Style" w:cs="Arial"/>
          <w:sz w:val="24"/>
          <w:szCs w:val="24"/>
        </w:rPr>
        <w:t xml:space="preserve"> poderão ser rejeitados, no todo ou em parte, inclusive antes do recebimento provisório, quando em desacordo com as especificações constantes no Termo de Referência e na proposta, devendo ser substituídos no prazo de 7 (sete) dias, a contar da notificação da contratada, às suas custas, sem prejuízo da aplicação das penalidades.</w:t>
      </w:r>
    </w:p>
    <w:p w14:paraId="545DDA77"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2F92FB39"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O prazo para recebimento definitivo poderá ser excepcionalmente prorrogado, de forma justificada, por igual período, quando houver necessidade de diligências para a aferição do atendimento das exigências contratuais.</w:t>
      </w:r>
    </w:p>
    <w:p w14:paraId="34BC7414"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No caso de controvérsia sobre a execução do objeto, quanto à dimensão, qualidade e quantidade, deverá ser observado o teor do art. 143 da Lei n.º 14.133, de 2021, comunicando-se à empresa para emissão de Nota Fiscal no que for pertinente à parcela incontroversa da execução do objeto, para efeito de liquidação e pagamento.</w:t>
      </w:r>
    </w:p>
    <w:p w14:paraId="3CBDE9D9"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107B7"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O recebimento provisório ou definitivo não excluirá a responsabilidade civil pela solidez e pela segurança dos bens nem a responsabilidade ético-profissional pela perfeita execução do contrato.</w:t>
      </w:r>
    </w:p>
    <w:p w14:paraId="7451E82B" w14:textId="77777777" w:rsidR="00475945" w:rsidRPr="00CC06AA" w:rsidRDefault="00475945" w:rsidP="0047594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CC06AA">
        <w:rPr>
          <w:rFonts w:ascii="Bookman Old Style" w:eastAsia="Arial" w:hAnsi="Bookman Old Style" w:cs="Arial"/>
          <w:color w:val="000000"/>
          <w:sz w:val="24"/>
          <w:szCs w:val="24"/>
        </w:rPr>
        <w:t>Prazo de pagamento</w:t>
      </w:r>
    </w:p>
    <w:p w14:paraId="0544C105" w14:textId="51E4C6DD" w:rsidR="00475945"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CC06AA">
        <w:rPr>
          <w:rFonts w:ascii="Bookman Old Style" w:eastAsia="Arial" w:hAnsi="Bookman Old Style" w:cs="Arial"/>
          <w:sz w:val="24"/>
          <w:szCs w:val="24"/>
        </w:rPr>
        <w:t xml:space="preserve">Os pagamentos de valores para créditos nos cartões magnéticos serão repassados uma vez por mês para a Contratada </w:t>
      </w:r>
      <w:r w:rsidR="00D509A5" w:rsidRPr="00CC06AA">
        <w:rPr>
          <w:rFonts w:ascii="Bookman Old Style" w:eastAsia="Arial" w:hAnsi="Bookman Old Style" w:cs="Arial"/>
          <w:sz w:val="24"/>
          <w:szCs w:val="24"/>
        </w:rPr>
        <w:t xml:space="preserve">em até </w:t>
      </w:r>
      <w:r w:rsidR="008A30ED" w:rsidRPr="00CC06AA">
        <w:rPr>
          <w:rFonts w:ascii="Bookman Old Style" w:eastAsia="Arial" w:hAnsi="Bookman Old Style" w:cs="Arial"/>
          <w:sz w:val="24"/>
          <w:szCs w:val="24"/>
        </w:rPr>
        <w:t>20</w:t>
      </w:r>
      <w:r w:rsidR="00D509A5" w:rsidRPr="00CC06AA">
        <w:rPr>
          <w:rFonts w:ascii="Bookman Old Style" w:eastAsia="Arial" w:hAnsi="Bookman Old Style" w:cs="Arial"/>
          <w:sz w:val="24"/>
          <w:szCs w:val="24"/>
        </w:rPr>
        <w:t xml:space="preserve"> (</w:t>
      </w:r>
      <w:r w:rsidR="008A30ED" w:rsidRPr="00CC06AA">
        <w:rPr>
          <w:rFonts w:ascii="Bookman Old Style" w:eastAsia="Arial" w:hAnsi="Bookman Old Style" w:cs="Arial"/>
          <w:sz w:val="24"/>
          <w:szCs w:val="24"/>
        </w:rPr>
        <w:t>vinte</w:t>
      </w:r>
      <w:r w:rsidR="00D509A5" w:rsidRPr="00CC06AA">
        <w:rPr>
          <w:rFonts w:ascii="Bookman Old Style" w:eastAsia="Arial" w:hAnsi="Bookman Old Style" w:cs="Arial"/>
          <w:sz w:val="24"/>
          <w:szCs w:val="24"/>
        </w:rPr>
        <w:t>) dias após a comprovação do crédito nos cartões dos servidores, através</w:t>
      </w:r>
      <w:r w:rsidR="00764E13" w:rsidRPr="00CC06AA">
        <w:rPr>
          <w:rFonts w:ascii="Bookman Old Style" w:eastAsia="Arial" w:hAnsi="Bookman Old Style" w:cs="Arial"/>
          <w:sz w:val="24"/>
          <w:szCs w:val="24"/>
        </w:rPr>
        <w:t xml:space="preserve"> de relatório</w:t>
      </w:r>
      <w:r w:rsidR="006175AF" w:rsidRPr="00CC06AA">
        <w:rPr>
          <w:rFonts w:ascii="Bookman Old Style" w:eastAsia="Arial" w:hAnsi="Bookman Old Style" w:cs="Arial"/>
          <w:sz w:val="24"/>
          <w:szCs w:val="24"/>
        </w:rPr>
        <w:t>, nota fiscal</w:t>
      </w:r>
      <w:r w:rsidR="00764E13" w:rsidRPr="00CC06AA">
        <w:rPr>
          <w:rFonts w:ascii="Bookman Old Style" w:eastAsia="Arial" w:hAnsi="Bookman Old Style" w:cs="Arial"/>
          <w:sz w:val="24"/>
          <w:szCs w:val="24"/>
        </w:rPr>
        <w:t xml:space="preserve"> e declaração assinada eletronicamente, informando que os créditos informados pela Contratante foram creditados na íntegra.</w:t>
      </w:r>
    </w:p>
    <w:p w14:paraId="50ADEE11" w14:textId="2643615D" w:rsidR="00524125" w:rsidRPr="00CC06AA" w:rsidRDefault="0052412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bookmarkStart w:id="2" w:name="_Hlk171674151"/>
      <w:r w:rsidRPr="00CC2B8C">
        <w:rPr>
          <w:rFonts w:ascii="Bookman Old Style" w:eastAsia="Arial" w:hAnsi="Bookman Old Style" w:cs="Arial"/>
          <w:sz w:val="24"/>
          <w:szCs w:val="24"/>
        </w:rPr>
        <w:t>A declaração/comprovação com os relatórios e notas fiscais devem ser encaminhadas para o</w:t>
      </w:r>
      <w:r w:rsidR="00815418">
        <w:rPr>
          <w:rFonts w:ascii="Bookman Old Style" w:eastAsia="Arial" w:hAnsi="Bookman Old Style" w:cs="Arial"/>
          <w:sz w:val="24"/>
          <w:szCs w:val="24"/>
        </w:rPr>
        <w:t>s</w:t>
      </w:r>
      <w:r w:rsidRPr="00CC2B8C">
        <w:rPr>
          <w:rFonts w:ascii="Bookman Old Style" w:eastAsia="Arial" w:hAnsi="Bookman Old Style" w:cs="Arial"/>
          <w:sz w:val="24"/>
          <w:szCs w:val="24"/>
        </w:rPr>
        <w:t xml:space="preserve"> e-mail</w:t>
      </w:r>
      <w:r w:rsidR="00815418">
        <w:rPr>
          <w:rFonts w:ascii="Bookman Old Style" w:eastAsia="Arial" w:hAnsi="Bookman Old Style" w:cs="Arial"/>
          <w:sz w:val="24"/>
          <w:szCs w:val="24"/>
        </w:rPr>
        <w:t>s</w:t>
      </w:r>
      <w:r w:rsidRPr="00CC2B8C">
        <w:rPr>
          <w:rFonts w:ascii="Bookman Old Style" w:eastAsia="Arial" w:hAnsi="Bookman Old Style" w:cs="Arial"/>
          <w:sz w:val="24"/>
          <w:szCs w:val="24"/>
        </w:rPr>
        <w:t xml:space="preserve">: </w:t>
      </w:r>
      <w:hyperlink r:id="rId5" w:history="1">
        <w:r w:rsidRPr="00CC2B8C">
          <w:rPr>
            <w:rStyle w:val="Hyperlink"/>
            <w:rFonts w:ascii="Bookman Old Style" w:eastAsia="Arial" w:hAnsi="Bookman Old Style" w:cs="Arial"/>
            <w:sz w:val="24"/>
          </w:rPr>
          <w:t>administracao@pmcordi.sc.gov.br</w:t>
        </w:r>
      </w:hyperlink>
      <w:r>
        <w:rPr>
          <w:rStyle w:val="Hyperlink"/>
          <w:rFonts w:ascii="Bookman Old Style" w:eastAsia="Arial" w:hAnsi="Bookman Old Style" w:cs="Arial"/>
          <w:sz w:val="24"/>
        </w:rPr>
        <w:t xml:space="preserve"> </w:t>
      </w:r>
      <w:bookmarkStart w:id="3" w:name="_Hlk171674111"/>
      <w:r>
        <w:rPr>
          <w:rStyle w:val="Hyperlink"/>
          <w:rFonts w:ascii="Bookman Old Style" w:eastAsia="Arial" w:hAnsi="Bookman Old Style" w:cs="Arial"/>
          <w:sz w:val="24"/>
        </w:rPr>
        <w:t>e camara@camaracordilheiraalta.sc.gov.br</w:t>
      </w:r>
      <w:bookmarkEnd w:id="3"/>
    </w:p>
    <w:bookmarkEnd w:id="2"/>
    <w:p w14:paraId="39AD98FC" w14:textId="77777777" w:rsidR="00475945" w:rsidRPr="00864C1D" w:rsidRDefault="00475945" w:rsidP="0047594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Quando do pagamento será efetuada a retenção tributária prevista na legislação aplicável.</w:t>
      </w:r>
    </w:p>
    <w:p w14:paraId="53D2CFEA" w14:textId="77777777" w:rsidR="00475945" w:rsidRPr="00864C1D" w:rsidRDefault="00475945" w:rsidP="00475945">
      <w:pPr>
        <w:numPr>
          <w:ilvl w:val="2"/>
          <w:numId w:val="24"/>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Independentemente do percentual de tributo inserido na planilha, quando houver, serão retidos na fonte, quando da realização do pagamento, os percentuais estabelecidos na legislação vigente.</w:t>
      </w:r>
    </w:p>
    <w:p w14:paraId="597F3214" w14:textId="77777777" w:rsidR="00475945" w:rsidRPr="00864C1D" w:rsidRDefault="00475945" w:rsidP="00475945">
      <w:pPr>
        <w:numPr>
          <w:ilvl w:val="1"/>
          <w:numId w:val="2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FB0FC95"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43D6DFBB"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 xml:space="preserve">     FORMA E CRITÉRIOS DE SELEÇÃO DO FORNECEDOR E FORMA DE FORNECIMENTO</w:t>
      </w:r>
    </w:p>
    <w:p w14:paraId="2551EFAA" w14:textId="77777777" w:rsidR="00475945" w:rsidRPr="00864C1D" w:rsidRDefault="00475945" w:rsidP="002A45BF">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5364015B" w14:textId="77777777" w:rsidR="00475945" w:rsidRPr="00864C1D" w:rsidRDefault="00475945" w:rsidP="00475945">
      <w:pPr>
        <w:numPr>
          <w:ilvl w:val="1"/>
          <w:numId w:val="2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Forma de seleção e critério de julgamento da proposta</w:t>
      </w:r>
    </w:p>
    <w:p w14:paraId="3E94ED87" w14:textId="4DD510D0" w:rsidR="00475945" w:rsidRPr="00DA4AF8" w:rsidRDefault="00475945" w:rsidP="00475945">
      <w:pPr>
        <w:numPr>
          <w:ilvl w:val="2"/>
          <w:numId w:val="25"/>
        </w:numPr>
        <w:pBdr>
          <w:top w:val="nil"/>
          <w:left w:val="nil"/>
          <w:bottom w:val="nil"/>
          <w:right w:val="nil"/>
          <w:between w:val="nil"/>
        </w:pBdr>
        <w:spacing w:after="120" w:line="240" w:lineRule="auto"/>
        <w:ind w:left="0" w:firstLine="0"/>
        <w:jc w:val="both"/>
        <w:rPr>
          <w:rFonts w:ascii="Bookman Old Style" w:eastAsia="Arial" w:hAnsi="Bookman Old Style" w:cs="Arial"/>
          <w:b/>
          <w:sz w:val="24"/>
          <w:szCs w:val="24"/>
        </w:rPr>
      </w:pPr>
      <w:r w:rsidRPr="00864C1D">
        <w:rPr>
          <w:rFonts w:ascii="Bookman Old Style" w:eastAsia="Arial" w:hAnsi="Bookman Old Style" w:cs="Arial"/>
          <w:color w:val="000000"/>
          <w:sz w:val="24"/>
          <w:szCs w:val="24"/>
        </w:rPr>
        <w:t xml:space="preserve">O fornecedor será selecionado por meio da realização de procedimento de LICITAÇÃO, na modalidade PREGÃO sob a forma eletrônica, com adoção do critério de julgamento pelo </w:t>
      </w:r>
      <w:r w:rsidRPr="00E71EEB">
        <w:rPr>
          <w:rFonts w:ascii="Bookman Old Style" w:eastAsia="Arial" w:hAnsi="Bookman Old Style" w:cs="Arial"/>
          <w:b/>
          <w:color w:val="000000"/>
          <w:sz w:val="24"/>
          <w:szCs w:val="24"/>
        </w:rPr>
        <w:t xml:space="preserve">MENOR </w:t>
      </w:r>
      <w:r w:rsidRPr="00E71EEB">
        <w:rPr>
          <w:rFonts w:ascii="Bookman Old Style" w:eastAsia="Arial" w:hAnsi="Bookman Old Style" w:cs="Arial"/>
          <w:b/>
          <w:sz w:val="24"/>
          <w:szCs w:val="24"/>
        </w:rPr>
        <w:t>PREÇO</w:t>
      </w:r>
      <w:r w:rsidR="00815418">
        <w:rPr>
          <w:rFonts w:ascii="Bookman Old Style" w:eastAsia="Arial" w:hAnsi="Bookman Old Style" w:cs="Arial"/>
          <w:b/>
          <w:sz w:val="24"/>
          <w:szCs w:val="24"/>
        </w:rPr>
        <w:t xml:space="preserve"> </w:t>
      </w:r>
      <w:r w:rsidR="00815418" w:rsidRPr="00815418">
        <w:rPr>
          <w:rFonts w:ascii="Bookman Old Style" w:eastAsia="Arial" w:hAnsi="Bookman Old Style" w:cs="Arial"/>
          <w:bCs/>
          <w:sz w:val="24"/>
          <w:szCs w:val="24"/>
        </w:rPr>
        <w:t>por</w:t>
      </w:r>
      <w:r w:rsidR="00DA4AF8">
        <w:rPr>
          <w:rFonts w:ascii="Bookman Old Style" w:eastAsia="Arial" w:hAnsi="Bookman Old Style" w:cs="Arial"/>
          <w:b/>
          <w:sz w:val="24"/>
          <w:szCs w:val="24"/>
        </w:rPr>
        <w:t xml:space="preserve"> </w:t>
      </w:r>
      <w:r w:rsidR="00DA4AF8" w:rsidRPr="00DA4AF8">
        <w:rPr>
          <w:rFonts w:ascii="Bookman Old Style" w:eastAsia="Arial" w:hAnsi="Bookman Old Style" w:cs="Arial"/>
          <w:sz w:val="24"/>
          <w:szCs w:val="24"/>
        </w:rPr>
        <w:t>lot</w:t>
      </w:r>
      <w:r w:rsidR="00815418">
        <w:rPr>
          <w:rFonts w:ascii="Bookman Old Style" w:eastAsia="Arial" w:hAnsi="Bookman Old Style" w:cs="Arial"/>
          <w:sz w:val="24"/>
          <w:szCs w:val="24"/>
        </w:rPr>
        <w:t>e</w:t>
      </w:r>
      <w:r w:rsidRPr="00E71EEB">
        <w:rPr>
          <w:rFonts w:ascii="Bookman Old Style" w:eastAsia="Arial" w:hAnsi="Bookman Old Style" w:cs="Arial"/>
          <w:b/>
          <w:sz w:val="24"/>
          <w:szCs w:val="24"/>
        </w:rPr>
        <w:t xml:space="preserve"> </w:t>
      </w:r>
      <w:r w:rsidRPr="00E71EEB">
        <w:rPr>
          <w:rFonts w:ascii="Bookman Old Style" w:eastAsia="Arial" w:hAnsi="Bookman Old Style" w:cs="Arial"/>
          <w:b/>
          <w:color w:val="C00000"/>
          <w:sz w:val="24"/>
          <w:szCs w:val="24"/>
        </w:rPr>
        <w:t xml:space="preserve">(convertido em </w:t>
      </w:r>
      <w:r w:rsidRPr="00E71EEB">
        <w:rPr>
          <w:rFonts w:ascii="Bookman Old Style" w:eastAsia="Arial" w:hAnsi="Bookman Old Style" w:cs="Arial"/>
          <w:b/>
          <w:color w:val="C00000"/>
          <w:sz w:val="24"/>
          <w:szCs w:val="24"/>
          <w:u w:val="single"/>
        </w:rPr>
        <w:t>Menor</w:t>
      </w:r>
      <w:r w:rsidRPr="00E71EEB">
        <w:rPr>
          <w:rFonts w:ascii="Bookman Old Style" w:eastAsiaTheme="minorEastAsia" w:hAnsi="Bookman Old Style"/>
          <w:b/>
          <w:color w:val="C00000"/>
          <w:sz w:val="24"/>
          <w:szCs w:val="24"/>
          <w:u w:val="single"/>
        </w:rPr>
        <w:t xml:space="preserve"> Taxa de Administração</w:t>
      </w:r>
      <w:r w:rsidRPr="00815418">
        <w:rPr>
          <w:rFonts w:ascii="Bookman Old Style" w:eastAsiaTheme="minorEastAsia" w:hAnsi="Bookman Old Style"/>
          <w:b/>
          <w:color w:val="C00000"/>
          <w:sz w:val="24"/>
          <w:szCs w:val="24"/>
        </w:rPr>
        <w:t>);</w:t>
      </w:r>
      <w:r w:rsidRPr="00E71EEB">
        <w:rPr>
          <w:rFonts w:ascii="Bookman Old Style" w:eastAsiaTheme="minorEastAsia" w:hAnsi="Bookman Old Style"/>
          <w:b/>
          <w:color w:val="C00000"/>
          <w:sz w:val="24"/>
          <w:szCs w:val="24"/>
          <w:u w:val="single"/>
        </w:rPr>
        <w:t xml:space="preserve"> </w:t>
      </w:r>
    </w:p>
    <w:p w14:paraId="05B30FCD" w14:textId="113F3872" w:rsidR="00DA4AF8" w:rsidRPr="009167B7" w:rsidRDefault="0047411C" w:rsidP="00DA4AF8">
      <w:pPr>
        <w:numPr>
          <w:ilvl w:val="2"/>
          <w:numId w:val="25"/>
        </w:numPr>
        <w:spacing w:after="120" w:line="240" w:lineRule="auto"/>
        <w:ind w:left="0" w:firstLine="0"/>
        <w:jc w:val="both"/>
        <w:rPr>
          <w:rFonts w:ascii="Bookman Old Style" w:eastAsia="Arial" w:hAnsi="Bookman Old Style" w:cs="Arial"/>
          <w:sz w:val="24"/>
          <w:szCs w:val="24"/>
        </w:rPr>
      </w:pPr>
      <w:r>
        <w:rPr>
          <w:rFonts w:ascii="Bookman Old Style" w:hAnsi="Bookman Old Style"/>
          <w:color w:val="000000"/>
          <w:sz w:val="24"/>
          <w:szCs w:val="24"/>
        </w:rPr>
        <w:t xml:space="preserve"> </w:t>
      </w:r>
      <w:r w:rsidR="00DA4AF8" w:rsidRPr="009167B7">
        <w:rPr>
          <w:rFonts w:ascii="Bookman Old Style" w:hAnsi="Bookman Old Style"/>
          <w:color w:val="000000"/>
          <w:sz w:val="24"/>
          <w:szCs w:val="24"/>
        </w:rPr>
        <w:t xml:space="preserve">A presente licitação será efetuada por lote, pois desta forma o julgamento se torna mais vantajoso aos proponentes, além de manter a padronização dos serviços e valores que serão prestados, bem como por agilizar o controle e fiscalização. O próprio TCU já entendeu que seria legítima, a reunião de elementos de mesma característica, quando a adjudicação de itens isolados onerar "o trabalho da administração pública, sob o ponto de vista do emprego de recursos humanos e da dificuldade de controle, colocando em risco a economia de escala e a celeridade processual", o que pode comprometer a seleção da proposta mais vantajosa. </w:t>
      </w:r>
    </w:p>
    <w:p w14:paraId="07B6AA61" w14:textId="44B93BFD" w:rsidR="00DA4AF8" w:rsidRPr="00DA4AF8" w:rsidRDefault="00DA4AF8" w:rsidP="00DA4AF8">
      <w:pPr>
        <w:spacing w:after="120" w:line="240" w:lineRule="auto"/>
        <w:jc w:val="both"/>
        <w:rPr>
          <w:rFonts w:ascii="Bookman Old Style" w:eastAsia="Arial" w:hAnsi="Bookman Old Style" w:cs="Arial"/>
          <w:sz w:val="24"/>
          <w:szCs w:val="24"/>
        </w:rPr>
      </w:pPr>
      <w:r w:rsidRPr="009167B7">
        <w:rPr>
          <w:rFonts w:ascii="Bookman Old Style" w:eastAsia="Arial" w:hAnsi="Bookman Old Style" w:cs="Arial"/>
          <w:sz w:val="24"/>
          <w:szCs w:val="24"/>
        </w:rPr>
        <w:t>8.1.3.</w:t>
      </w:r>
      <w:r w:rsidR="0047411C">
        <w:rPr>
          <w:rFonts w:ascii="Bookman Old Style" w:eastAsia="Arial" w:hAnsi="Bookman Old Style" w:cs="Arial"/>
          <w:sz w:val="24"/>
          <w:szCs w:val="24"/>
        </w:rPr>
        <w:t xml:space="preserve"> </w:t>
      </w:r>
      <w:r w:rsidRPr="009167B7">
        <w:rPr>
          <w:rFonts w:ascii="Bookman Old Style" w:eastAsia="Arial" w:hAnsi="Bookman Old Style" w:cs="Arial"/>
          <w:sz w:val="24"/>
          <w:szCs w:val="24"/>
        </w:rPr>
        <w:t>A licitação será aberta para participação de todas as empresas e não terá reserva de cota por não ser vantajoso para a municipalidade de acordo com o inciso III do art. 49 de lei 123/2006, visto que a contratação anterior está finalizando sua vigência, restringir participação no processo poderia frustrar o mesmo e ocasionar transtornos e prejuízos ao município.</w:t>
      </w:r>
    </w:p>
    <w:p w14:paraId="72693C57" w14:textId="03FCEC1A"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sz w:val="24"/>
          <w:szCs w:val="24"/>
        </w:rPr>
      </w:pPr>
      <w:r w:rsidRPr="00864C1D">
        <w:rPr>
          <w:rFonts w:ascii="Bookman Old Style" w:eastAsiaTheme="minorEastAsia" w:hAnsi="Bookman Old Style"/>
          <w:sz w:val="24"/>
          <w:szCs w:val="24"/>
        </w:rPr>
        <w:t>8.1.</w:t>
      </w:r>
      <w:r w:rsidR="0047411C">
        <w:rPr>
          <w:rFonts w:ascii="Bookman Old Style" w:eastAsiaTheme="minorEastAsia" w:hAnsi="Bookman Old Style"/>
          <w:sz w:val="24"/>
          <w:szCs w:val="24"/>
        </w:rPr>
        <w:t>4.</w:t>
      </w:r>
      <w:r>
        <w:rPr>
          <w:rFonts w:ascii="Bookman Old Style" w:eastAsiaTheme="minorEastAsia" w:hAnsi="Bookman Old Style"/>
          <w:b/>
          <w:sz w:val="24"/>
          <w:szCs w:val="24"/>
        </w:rPr>
        <w:t xml:space="preserve"> </w:t>
      </w:r>
      <w:r w:rsidRPr="00A41B87">
        <w:rPr>
          <w:rFonts w:ascii="Bookman Old Style" w:eastAsiaTheme="minorEastAsia" w:hAnsi="Bookman Old Style"/>
          <w:sz w:val="24"/>
          <w:szCs w:val="24"/>
        </w:rPr>
        <w:t>Em função do sistema BLL não operacionalizar método de alcance de critério de julgamento de Menor Taxa de Administração, o menor preço será obtido pelo Menor Valor ofertado;</w:t>
      </w:r>
      <w:r w:rsidRPr="00864C1D">
        <w:rPr>
          <w:rFonts w:ascii="Bookman Old Style" w:eastAsiaTheme="minorEastAsia" w:hAnsi="Bookman Old Style"/>
          <w:b/>
          <w:sz w:val="24"/>
          <w:szCs w:val="24"/>
        </w:rPr>
        <w:t xml:space="preserve"> </w:t>
      </w:r>
    </w:p>
    <w:p w14:paraId="4A3CCFD0" w14:textId="5CFA1631" w:rsidR="00475945" w:rsidRPr="0047411C" w:rsidRDefault="00475945" w:rsidP="0047411C">
      <w:pPr>
        <w:pStyle w:val="PargrafodaLista"/>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47411C">
        <w:rPr>
          <w:rFonts w:ascii="Bookman Old Style" w:eastAsia="Arial" w:hAnsi="Bookman Old Style" w:cs="Arial"/>
          <w:sz w:val="24"/>
          <w:szCs w:val="24"/>
        </w:rPr>
        <w:t xml:space="preserve">Atualmente, o atual contrato vigente possui uma taxa de cerca de -6% (seis por cento negativa). </w:t>
      </w:r>
    </w:p>
    <w:p w14:paraId="19FD424B" w14:textId="2BFEA8F0" w:rsidR="00475945" w:rsidRPr="006818E3" w:rsidRDefault="00475945" w:rsidP="0047411C">
      <w:pPr>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6818E3">
        <w:rPr>
          <w:rFonts w:ascii="Bookman Old Style" w:eastAsia="Arial" w:hAnsi="Bookman Old Style" w:cs="Arial"/>
          <w:sz w:val="24"/>
          <w:szCs w:val="24"/>
        </w:rPr>
        <w:t xml:space="preserve">Para a fase de lances, será utilizado como referência o valor do último mês pago até este momento (maio de 2024), que foi </w:t>
      </w:r>
      <w:r w:rsidRPr="008C626B">
        <w:rPr>
          <w:rFonts w:ascii="Bookman Old Style" w:eastAsia="Arial" w:hAnsi="Bookman Old Style" w:cs="Arial"/>
          <w:sz w:val="24"/>
          <w:szCs w:val="24"/>
        </w:rPr>
        <w:t xml:space="preserve">de </w:t>
      </w:r>
      <w:r w:rsidR="006E334E" w:rsidRPr="008C626B">
        <w:rPr>
          <w:rFonts w:ascii="Bookman Old Style" w:eastAsia="Arial" w:hAnsi="Bookman Old Style" w:cs="Arial"/>
          <w:sz w:val="24"/>
          <w:szCs w:val="24"/>
        </w:rPr>
        <w:t>R$ 79.319,46 (</w:t>
      </w:r>
      <w:r w:rsidR="006E334E" w:rsidRPr="006818E3">
        <w:rPr>
          <w:rFonts w:ascii="Bookman Old Style" w:eastAsia="Arial" w:hAnsi="Bookman Old Style" w:cs="Arial"/>
          <w:sz w:val="24"/>
          <w:szCs w:val="24"/>
        </w:rPr>
        <w:t>setenta e nove mil, trezentos e dezenove reais e quarenta e seis centavos).</w:t>
      </w:r>
    </w:p>
    <w:p w14:paraId="23E50805" w14:textId="5C98913C" w:rsidR="00475945" w:rsidRPr="006818E3" w:rsidRDefault="00475945" w:rsidP="0047411C">
      <w:pPr>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6818E3">
        <w:rPr>
          <w:rFonts w:ascii="Bookman Old Style" w:eastAsia="Arial" w:hAnsi="Bookman Old Style" w:cs="Arial"/>
          <w:sz w:val="24"/>
          <w:szCs w:val="24"/>
        </w:rPr>
        <w:t xml:space="preserve">O valor </w:t>
      </w:r>
      <w:r w:rsidRPr="006818E3">
        <w:rPr>
          <w:rFonts w:ascii="Bookman Old Style" w:eastAsia="Arial" w:hAnsi="Bookman Old Style" w:cs="Arial"/>
          <w:b/>
          <w:sz w:val="24"/>
          <w:szCs w:val="24"/>
        </w:rPr>
        <w:t>máximo</w:t>
      </w:r>
      <w:r w:rsidRPr="006818E3">
        <w:rPr>
          <w:rFonts w:ascii="Bookman Old Style" w:eastAsia="Arial" w:hAnsi="Bookman Old Style" w:cs="Arial"/>
          <w:sz w:val="24"/>
          <w:szCs w:val="24"/>
        </w:rPr>
        <w:t xml:space="preserve"> que pode ser ofertado no lance é de </w:t>
      </w:r>
      <w:r w:rsidR="006E334E" w:rsidRPr="006818E3">
        <w:rPr>
          <w:rFonts w:ascii="Bookman Old Style" w:eastAsia="Arial" w:hAnsi="Bookman Old Style" w:cs="Arial"/>
          <w:b/>
          <w:sz w:val="24"/>
          <w:szCs w:val="24"/>
        </w:rPr>
        <w:t xml:space="preserve">R$ 79.319,46 </w:t>
      </w:r>
      <w:r w:rsidR="006E334E" w:rsidRPr="006818E3">
        <w:rPr>
          <w:rFonts w:ascii="Bookman Old Style" w:eastAsia="Arial" w:hAnsi="Bookman Old Style" w:cs="Arial"/>
          <w:sz w:val="24"/>
          <w:szCs w:val="24"/>
        </w:rPr>
        <w:t>(setenta e nove mil, trezentos e dezenove reais e quarenta e seis centavos</w:t>
      </w:r>
      <w:r w:rsidRPr="006818E3">
        <w:rPr>
          <w:rFonts w:ascii="Bookman Old Style" w:eastAsia="Arial" w:hAnsi="Bookman Old Style" w:cs="Arial"/>
          <w:sz w:val="24"/>
          <w:szCs w:val="24"/>
        </w:rPr>
        <w:t>). Se só houver lance neste valor, considera-se taxa de 0% (zero por cento).</w:t>
      </w:r>
    </w:p>
    <w:p w14:paraId="24717A51" w14:textId="013233B1" w:rsidR="00475945" w:rsidRPr="006818E3" w:rsidRDefault="00475945" w:rsidP="0047411C">
      <w:pPr>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6818E3">
        <w:rPr>
          <w:rFonts w:ascii="Bookman Old Style" w:eastAsia="Arial" w:hAnsi="Bookman Old Style" w:cs="Arial"/>
          <w:sz w:val="24"/>
          <w:szCs w:val="24"/>
        </w:rPr>
        <w:t>Caso haja</w:t>
      </w:r>
      <w:r w:rsidR="00815418">
        <w:rPr>
          <w:rFonts w:ascii="Bookman Old Style" w:eastAsia="Arial" w:hAnsi="Bookman Old Style" w:cs="Arial"/>
          <w:sz w:val="24"/>
          <w:szCs w:val="24"/>
        </w:rPr>
        <w:t>,</w:t>
      </w:r>
      <w:r w:rsidRPr="006818E3">
        <w:rPr>
          <w:rFonts w:ascii="Bookman Old Style" w:eastAsia="Arial" w:hAnsi="Bookman Old Style" w:cs="Arial"/>
          <w:sz w:val="24"/>
          <w:szCs w:val="24"/>
        </w:rPr>
        <w:t xml:space="preserve"> por exemplo, </w:t>
      </w:r>
      <w:r w:rsidRPr="00D22DAE">
        <w:rPr>
          <w:rFonts w:ascii="Bookman Old Style" w:eastAsia="Arial" w:hAnsi="Bookman Old Style" w:cs="Arial"/>
          <w:sz w:val="24"/>
          <w:szCs w:val="24"/>
        </w:rPr>
        <w:t>lance de R$ 7</w:t>
      </w:r>
      <w:r w:rsidR="006E334E" w:rsidRPr="00D22DAE">
        <w:rPr>
          <w:rFonts w:ascii="Bookman Old Style" w:eastAsia="Arial" w:hAnsi="Bookman Old Style" w:cs="Arial"/>
          <w:sz w:val="24"/>
          <w:szCs w:val="24"/>
        </w:rPr>
        <w:t>6</w:t>
      </w:r>
      <w:r w:rsidRPr="00D22DAE">
        <w:rPr>
          <w:rFonts w:ascii="Bookman Old Style" w:eastAsia="Arial" w:hAnsi="Bookman Old Style" w:cs="Arial"/>
          <w:sz w:val="24"/>
          <w:szCs w:val="24"/>
        </w:rPr>
        <w:t>.000,00</w:t>
      </w:r>
      <w:r w:rsidRPr="006818E3">
        <w:rPr>
          <w:rFonts w:ascii="Bookman Old Style" w:eastAsia="Arial" w:hAnsi="Bookman Old Style" w:cs="Arial"/>
          <w:sz w:val="24"/>
          <w:szCs w:val="24"/>
        </w:rPr>
        <w:t xml:space="preserve"> (setenta e </w:t>
      </w:r>
      <w:r w:rsidR="006E334E" w:rsidRPr="006818E3">
        <w:rPr>
          <w:rFonts w:ascii="Bookman Old Style" w:eastAsia="Arial" w:hAnsi="Bookman Old Style" w:cs="Arial"/>
          <w:sz w:val="24"/>
          <w:szCs w:val="24"/>
        </w:rPr>
        <w:t>seis</w:t>
      </w:r>
      <w:r w:rsidRPr="006818E3">
        <w:rPr>
          <w:rFonts w:ascii="Bookman Old Style" w:eastAsia="Arial" w:hAnsi="Bookman Old Style" w:cs="Arial"/>
          <w:sz w:val="24"/>
          <w:szCs w:val="24"/>
        </w:rPr>
        <w:t xml:space="preserve"> mil reais), o percentual da taxa de administração será </w:t>
      </w:r>
      <w:r w:rsidRPr="00D22DAE">
        <w:rPr>
          <w:rFonts w:ascii="Bookman Old Style" w:eastAsia="Arial" w:hAnsi="Bookman Old Style" w:cs="Arial"/>
          <w:sz w:val="24"/>
          <w:szCs w:val="24"/>
        </w:rPr>
        <w:t>de -</w:t>
      </w:r>
      <w:r w:rsidR="006E334E" w:rsidRPr="00D22DAE">
        <w:rPr>
          <w:rFonts w:ascii="Bookman Old Style" w:eastAsia="Arial" w:hAnsi="Bookman Old Style" w:cs="Arial"/>
          <w:sz w:val="24"/>
          <w:szCs w:val="24"/>
        </w:rPr>
        <w:t>4,18</w:t>
      </w:r>
      <w:r w:rsidRPr="00D22DAE">
        <w:rPr>
          <w:rFonts w:ascii="Bookman Old Style" w:eastAsia="Arial" w:hAnsi="Bookman Old Style" w:cs="Arial"/>
          <w:sz w:val="24"/>
          <w:szCs w:val="24"/>
        </w:rPr>
        <w:t>%</w:t>
      </w:r>
      <w:r w:rsidRPr="006818E3">
        <w:rPr>
          <w:rFonts w:ascii="Bookman Old Style" w:eastAsia="Arial" w:hAnsi="Bookman Old Style" w:cs="Arial"/>
          <w:sz w:val="24"/>
          <w:szCs w:val="24"/>
        </w:rPr>
        <w:t xml:space="preserve"> (</w:t>
      </w:r>
      <w:r w:rsidR="006E334E" w:rsidRPr="006818E3">
        <w:rPr>
          <w:rFonts w:ascii="Bookman Old Style" w:eastAsia="Arial" w:hAnsi="Bookman Old Style" w:cs="Arial"/>
          <w:sz w:val="24"/>
          <w:szCs w:val="24"/>
        </w:rPr>
        <w:t>quatro</w:t>
      </w:r>
      <w:r w:rsidRPr="006818E3">
        <w:rPr>
          <w:rFonts w:ascii="Bookman Old Style" w:eastAsia="Arial" w:hAnsi="Bookman Old Style" w:cs="Arial"/>
          <w:sz w:val="24"/>
          <w:szCs w:val="24"/>
        </w:rPr>
        <w:t xml:space="preserve"> virgula </w:t>
      </w:r>
      <w:r w:rsidR="006E334E" w:rsidRPr="006818E3">
        <w:rPr>
          <w:rFonts w:ascii="Bookman Old Style" w:eastAsia="Arial" w:hAnsi="Bookman Old Style" w:cs="Arial"/>
          <w:sz w:val="24"/>
          <w:szCs w:val="24"/>
        </w:rPr>
        <w:t>dezoito</w:t>
      </w:r>
      <w:r w:rsidRPr="006818E3">
        <w:rPr>
          <w:rFonts w:ascii="Bookman Old Style" w:eastAsia="Arial" w:hAnsi="Bookman Old Style" w:cs="Arial"/>
          <w:sz w:val="24"/>
          <w:szCs w:val="24"/>
        </w:rPr>
        <w:t xml:space="preserve"> por cento negativo).</w:t>
      </w:r>
    </w:p>
    <w:p w14:paraId="306E2861" w14:textId="524C5285" w:rsidR="00475945" w:rsidRPr="006818E3" w:rsidRDefault="00815418" w:rsidP="0047411C">
      <w:pPr>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Pr>
          <w:rFonts w:ascii="Bookman Old Style" w:eastAsia="Arial" w:hAnsi="Bookman Old Style" w:cs="Arial"/>
          <w:sz w:val="24"/>
          <w:szCs w:val="24"/>
        </w:rPr>
        <w:t>Já s</w:t>
      </w:r>
      <w:r w:rsidR="00475945" w:rsidRPr="006818E3">
        <w:rPr>
          <w:rFonts w:ascii="Bookman Old Style" w:eastAsia="Arial" w:hAnsi="Bookman Old Style" w:cs="Arial"/>
          <w:sz w:val="24"/>
          <w:szCs w:val="24"/>
        </w:rPr>
        <w:t xml:space="preserve">e o lance for de </w:t>
      </w:r>
      <w:r w:rsidR="00475945" w:rsidRPr="00D22DAE">
        <w:rPr>
          <w:rFonts w:ascii="Bookman Old Style" w:eastAsia="Arial" w:hAnsi="Bookman Old Style" w:cs="Arial"/>
          <w:sz w:val="24"/>
          <w:szCs w:val="24"/>
        </w:rPr>
        <w:t>R$ 7</w:t>
      </w:r>
      <w:r w:rsidR="006818E3" w:rsidRPr="00D22DAE">
        <w:rPr>
          <w:rFonts w:ascii="Bookman Old Style" w:eastAsia="Arial" w:hAnsi="Bookman Old Style" w:cs="Arial"/>
          <w:sz w:val="24"/>
          <w:szCs w:val="24"/>
        </w:rPr>
        <w:t>5</w:t>
      </w:r>
      <w:r w:rsidR="00475945" w:rsidRPr="00D22DAE">
        <w:rPr>
          <w:rFonts w:ascii="Bookman Old Style" w:eastAsia="Arial" w:hAnsi="Bookman Old Style" w:cs="Arial"/>
          <w:sz w:val="24"/>
          <w:szCs w:val="24"/>
        </w:rPr>
        <w:t>.</w:t>
      </w:r>
      <w:r w:rsidR="006818E3" w:rsidRPr="00D22DAE">
        <w:rPr>
          <w:rFonts w:ascii="Bookman Old Style" w:eastAsia="Arial" w:hAnsi="Bookman Old Style" w:cs="Arial"/>
          <w:sz w:val="24"/>
          <w:szCs w:val="24"/>
        </w:rPr>
        <w:t>353,48</w:t>
      </w:r>
      <w:r w:rsidR="00475945" w:rsidRPr="006818E3">
        <w:rPr>
          <w:rFonts w:ascii="Bookman Old Style" w:eastAsia="Arial" w:hAnsi="Bookman Old Style" w:cs="Arial"/>
          <w:sz w:val="24"/>
          <w:szCs w:val="24"/>
        </w:rPr>
        <w:t xml:space="preserve"> (setenta e </w:t>
      </w:r>
      <w:r w:rsidR="006818E3" w:rsidRPr="006818E3">
        <w:rPr>
          <w:rFonts w:ascii="Bookman Old Style" w:eastAsia="Arial" w:hAnsi="Bookman Old Style" w:cs="Arial"/>
          <w:sz w:val="24"/>
          <w:szCs w:val="24"/>
        </w:rPr>
        <w:t>cinco</w:t>
      </w:r>
      <w:r w:rsidR="00475945" w:rsidRPr="006818E3">
        <w:rPr>
          <w:rFonts w:ascii="Bookman Old Style" w:eastAsia="Arial" w:hAnsi="Bookman Old Style" w:cs="Arial"/>
          <w:sz w:val="24"/>
          <w:szCs w:val="24"/>
        </w:rPr>
        <w:t xml:space="preserve"> mil e </w:t>
      </w:r>
      <w:r w:rsidR="006818E3" w:rsidRPr="006818E3">
        <w:rPr>
          <w:rFonts w:ascii="Bookman Old Style" w:eastAsia="Arial" w:hAnsi="Bookman Old Style" w:cs="Arial"/>
          <w:sz w:val="24"/>
          <w:szCs w:val="24"/>
        </w:rPr>
        <w:t>trezentos e cinquenta</w:t>
      </w:r>
      <w:r w:rsidR="00475945" w:rsidRPr="006818E3">
        <w:rPr>
          <w:rFonts w:ascii="Bookman Old Style" w:eastAsia="Arial" w:hAnsi="Bookman Old Style" w:cs="Arial"/>
          <w:sz w:val="24"/>
          <w:szCs w:val="24"/>
        </w:rPr>
        <w:t xml:space="preserve"> e </w:t>
      </w:r>
      <w:r w:rsidR="006818E3" w:rsidRPr="006818E3">
        <w:rPr>
          <w:rFonts w:ascii="Bookman Old Style" w:eastAsia="Arial" w:hAnsi="Bookman Old Style" w:cs="Arial"/>
          <w:sz w:val="24"/>
          <w:szCs w:val="24"/>
        </w:rPr>
        <w:t xml:space="preserve">três </w:t>
      </w:r>
      <w:r w:rsidR="00475945" w:rsidRPr="006818E3">
        <w:rPr>
          <w:rFonts w:ascii="Bookman Old Style" w:eastAsia="Arial" w:hAnsi="Bookman Old Style" w:cs="Arial"/>
          <w:sz w:val="24"/>
          <w:szCs w:val="24"/>
        </w:rPr>
        <w:t xml:space="preserve">reais), o percentual da taxa de administração </w:t>
      </w:r>
      <w:r>
        <w:rPr>
          <w:rFonts w:ascii="Bookman Old Style" w:eastAsia="Arial" w:hAnsi="Bookman Old Style" w:cs="Arial"/>
          <w:sz w:val="24"/>
          <w:szCs w:val="24"/>
        </w:rPr>
        <w:t xml:space="preserve">corresponderá a </w:t>
      </w:r>
      <w:r w:rsidR="00475945" w:rsidRPr="006818E3">
        <w:rPr>
          <w:rFonts w:ascii="Bookman Old Style" w:eastAsia="Arial" w:hAnsi="Bookman Old Style" w:cs="Arial"/>
          <w:sz w:val="24"/>
          <w:szCs w:val="24"/>
        </w:rPr>
        <w:t>-5% (cinco por cento negativo</w:t>
      </w:r>
      <w:r>
        <w:rPr>
          <w:rFonts w:ascii="Bookman Old Style" w:eastAsia="Arial" w:hAnsi="Bookman Old Style" w:cs="Arial"/>
          <w:sz w:val="24"/>
          <w:szCs w:val="24"/>
        </w:rPr>
        <w:t>)</w:t>
      </w:r>
      <w:r w:rsidR="00475945" w:rsidRPr="006818E3">
        <w:rPr>
          <w:rFonts w:ascii="Bookman Old Style" w:eastAsia="Arial" w:hAnsi="Bookman Old Style" w:cs="Arial"/>
          <w:sz w:val="24"/>
          <w:szCs w:val="24"/>
        </w:rPr>
        <w:t>.</w:t>
      </w:r>
    </w:p>
    <w:p w14:paraId="0D0FD880" w14:textId="0A1E22D7" w:rsidR="00475945" w:rsidRPr="006818E3" w:rsidRDefault="00475945" w:rsidP="0047411C">
      <w:pPr>
        <w:numPr>
          <w:ilvl w:val="2"/>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6818E3">
        <w:rPr>
          <w:rFonts w:ascii="Bookman Old Style" w:eastAsia="Arial" w:hAnsi="Bookman Old Style" w:cs="Arial"/>
          <w:sz w:val="24"/>
          <w:szCs w:val="24"/>
        </w:rPr>
        <w:t>Não serão aceitos lances finais com valor acima de R$</w:t>
      </w:r>
      <w:r w:rsidR="006818E3" w:rsidRPr="006818E3">
        <w:rPr>
          <w:rFonts w:ascii="Bookman Old Style" w:eastAsia="Arial" w:hAnsi="Bookman Old Style" w:cs="Arial"/>
          <w:sz w:val="24"/>
          <w:szCs w:val="24"/>
        </w:rPr>
        <w:t xml:space="preserve"> 79.319,46</w:t>
      </w:r>
      <w:r w:rsidRPr="006818E3">
        <w:rPr>
          <w:rFonts w:ascii="Bookman Old Style" w:eastAsia="Arial" w:hAnsi="Bookman Old Style" w:cs="Arial"/>
          <w:sz w:val="24"/>
          <w:szCs w:val="24"/>
        </w:rPr>
        <w:t>.</w:t>
      </w:r>
      <w:r w:rsidRPr="006818E3">
        <w:rPr>
          <w:rFonts w:ascii="Bookman Old Style" w:eastAsia="Arial" w:hAnsi="Bookman Old Style" w:cs="Arial"/>
          <w:b/>
          <w:sz w:val="24"/>
          <w:szCs w:val="24"/>
        </w:rPr>
        <w:t xml:space="preserve"> </w:t>
      </w:r>
      <w:r w:rsidRPr="006818E3">
        <w:rPr>
          <w:rFonts w:ascii="Bookman Old Style" w:eastAsia="Arial" w:hAnsi="Bookman Old Style" w:cs="Arial"/>
          <w:sz w:val="24"/>
          <w:szCs w:val="24"/>
        </w:rPr>
        <w:t>A proposta que finalizar com o valor acima do valor de referência será desclassificada.</w:t>
      </w:r>
    </w:p>
    <w:p w14:paraId="33F15003" w14:textId="77777777" w:rsidR="00475945" w:rsidRPr="00864C1D" w:rsidRDefault="00475945" w:rsidP="0047411C">
      <w:pPr>
        <w:pStyle w:val="PargrafodaLista"/>
        <w:numPr>
          <w:ilvl w:val="1"/>
          <w:numId w:val="3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Forma de fornecimento</w:t>
      </w:r>
    </w:p>
    <w:p w14:paraId="4B974EB1" w14:textId="1C6B54AB" w:rsidR="00475945" w:rsidRPr="00815418" w:rsidRDefault="00475945" w:rsidP="0047411C">
      <w:pPr>
        <w:pStyle w:val="PargrafodaLista"/>
        <w:numPr>
          <w:ilvl w:val="2"/>
          <w:numId w:val="33"/>
        </w:numPr>
        <w:pBdr>
          <w:top w:val="nil"/>
          <w:left w:val="nil"/>
          <w:bottom w:val="nil"/>
          <w:right w:val="nil"/>
          <w:between w:val="nil"/>
        </w:pBdr>
        <w:spacing w:after="120" w:line="240" w:lineRule="auto"/>
        <w:ind w:left="426" w:hanging="426"/>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O fornecimento do objeto será continuado.</w:t>
      </w:r>
    </w:p>
    <w:p w14:paraId="06B2C0B5" w14:textId="77777777" w:rsidR="00475945" w:rsidRPr="00864C1D" w:rsidRDefault="00475945" w:rsidP="0047411C">
      <w:pPr>
        <w:numPr>
          <w:ilvl w:val="1"/>
          <w:numId w:val="3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Exigências de habilitação</w:t>
      </w:r>
    </w:p>
    <w:p w14:paraId="1297A285" w14:textId="77777777" w:rsidR="00475945" w:rsidRPr="00864C1D" w:rsidRDefault="00475945" w:rsidP="0047411C">
      <w:pPr>
        <w:numPr>
          <w:ilvl w:val="2"/>
          <w:numId w:val="33"/>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Para fins de habilitação, deverá o licitante comprovar os seguintes requisitos:</w:t>
      </w:r>
    </w:p>
    <w:p w14:paraId="5E4275B9" w14:textId="77777777" w:rsidR="00475945" w:rsidRPr="00864C1D" w:rsidRDefault="00475945" w:rsidP="00475945">
      <w:pPr>
        <w:numPr>
          <w:ilvl w:val="0"/>
          <w:numId w:val="1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Habilitação jurídica</w:t>
      </w:r>
    </w:p>
    <w:p w14:paraId="36AB16E5" w14:textId="77777777" w:rsidR="00475945" w:rsidRPr="00864C1D" w:rsidRDefault="00475945" w:rsidP="00475945">
      <w:pPr>
        <w:numPr>
          <w:ilvl w:val="0"/>
          <w:numId w:val="1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Cédula de identidade; </w:t>
      </w:r>
    </w:p>
    <w:p w14:paraId="5C9A1D1E" w14:textId="77777777" w:rsidR="00475945" w:rsidRPr="00864C1D" w:rsidRDefault="00475945" w:rsidP="00475945">
      <w:pPr>
        <w:numPr>
          <w:ilvl w:val="0"/>
          <w:numId w:val="1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Registro comercial, no caso de empresa individual, ato constitutivo, estatuto ou contrato social em vigor, devidamente registrado, em se tratando de sociedades comerciais,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14:paraId="1F5BDE25" w14:textId="77777777" w:rsidR="00475945" w:rsidRPr="00864C1D" w:rsidRDefault="00475945" w:rsidP="00475945">
      <w:pPr>
        <w:numPr>
          <w:ilvl w:val="0"/>
          <w:numId w:val="15"/>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bookmarkStart w:id="4" w:name="_heading=h.3znysh7" w:colFirst="0" w:colLast="0"/>
      <w:bookmarkEnd w:id="4"/>
      <w:r w:rsidRPr="00864C1D">
        <w:rPr>
          <w:rFonts w:ascii="Bookman Old Style" w:eastAsia="Arial" w:hAnsi="Bookman Old Style" w:cs="Arial"/>
          <w:color w:val="000000"/>
          <w:sz w:val="24"/>
          <w:szCs w:val="24"/>
        </w:rPr>
        <w:t>Os documentos apresentados deverão estar acompanhados de todas as alterações ou da consolidação respectiva.</w:t>
      </w:r>
    </w:p>
    <w:p w14:paraId="2265E78B" w14:textId="77777777" w:rsidR="00475945" w:rsidRPr="00864C1D" w:rsidRDefault="00475945" w:rsidP="00475945">
      <w:pPr>
        <w:numPr>
          <w:ilvl w:val="0"/>
          <w:numId w:val="1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Habilitação fiscal, social e trabalhista</w:t>
      </w:r>
    </w:p>
    <w:p w14:paraId="3A707884"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Prova de inscrição no Cadastro Nacional de Pessoas Jurídicas ou no Cadastro de Pessoas Físicas, conforme o caso;</w:t>
      </w:r>
    </w:p>
    <w:p w14:paraId="07CC4290"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2224349"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Prova de regularidade com o Fundo de Garantia do Tempo de Serviço (FGTS);</w:t>
      </w:r>
    </w:p>
    <w:p w14:paraId="377C3178"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7B2989A"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Prova de regularidade com a Fazenda </w:t>
      </w:r>
      <w:r w:rsidRPr="00864C1D">
        <w:rPr>
          <w:rFonts w:ascii="Bookman Old Style" w:eastAsia="Arial" w:hAnsi="Bookman Old Style" w:cs="Arial"/>
          <w:i/>
          <w:color w:val="000000"/>
          <w:sz w:val="24"/>
          <w:szCs w:val="24"/>
        </w:rPr>
        <w:t>Municipal/Distrital</w:t>
      </w:r>
      <w:r w:rsidRPr="00864C1D">
        <w:rPr>
          <w:rFonts w:ascii="Bookman Old Style" w:eastAsia="Arial" w:hAnsi="Bookman Old Style" w:cs="Arial"/>
          <w:i/>
          <w:color w:val="FF0000"/>
          <w:sz w:val="24"/>
          <w:szCs w:val="24"/>
        </w:rPr>
        <w:t xml:space="preserve"> </w:t>
      </w:r>
      <w:r w:rsidRPr="00864C1D">
        <w:rPr>
          <w:rFonts w:ascii="Bookman Old Style" w:eastAsia="Arial" w:hAnsi="Bookman Old Style" w:cs="Arial"/>
          <w:color w:val="000000"/>
          <w:sz w:val="24"/>
          <w:szCs w:val="24"/>
        </w:rPr>
        <w:t>do domicílio ou sede do fornecedor, relativa à atividade em cujo exercício contrata ou concorre;</w:t>
      </w:r>
    </w:p>
    <w:p w14:paraId="79951DFD"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Caso o fornecedor seja considerado isento dos tributos </w:t>
      </w:r>
      <w:r w:rsidRPr="00864C1D">
        <w:rPr>
          <w:rFonts w:ascii="Bookman Old Style" w:eastAsia="Arial" w:hAnsi="Bookman Old Style" w:cs="Arial"/>
          <w:i/>
          <w:color w:val="000000"/>
          <w:sz w:val="24"/>
          <w:szCs w:val="24"/>
        </w:rPr>
        <w:t>Municipal/Distrital</w:t>
      </w:r>
      <w:r w:rsidRPr="00864C1D">
        <w:rPr>
          <w:rFonts w:ascii="Bookman Old Style" w:eastAsia="Arial" w:hAnsi="Bookman Old Style" w:cs="Arial"/>
          <w:i/>
          <w:color w:val="FF0000"/>
          <w:sz w:val="24"/>
          <w:szCs w:val="24"/>
        </w:rPr>
        <w:t xml:space="preserve"> </w:t>
      </w:r>
      <w:r w:rsidRPr="00864C1D">
        <w:rPr>
          <w:rFonts w:ascii="Bookman Old Style" w:eastAsia="Arial" w:hAnsi="Bookman Old Style" w:cs="Arial"/>
          <w:color w:val="000000"/>
          <w:sz w:val="24"/>
          <w:szCs w:val="24"/>
        </w:rPr>
        <w:t>relacionado ao objeto contratual, deverá comprovar tal condição mediante a apresentação de declaração da Fazenda respectiva do seu domicílio ou sede, ou outra equivalente, na forma da lei.</w:t>
      </w:r>
    </w:p>
    <w:p w14:paraId="68AC6F24" w14:textId="77777777" w:rsidR="00475945" w:rsidRPr="00864C1D" w:rsidRDefault="00475945" w:rsidP="00475945">
      <w:pPr>
        <w:numPr>
          <w:ilvl w:val="0"/>
          <w:numId w:val="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3A309836" w14:textId="77777777" w:rsidR="00475945" w:rsidRPr="00864C1D" w:rsidRDefault="00475945" w:rsidP="00475945">
      <w:pPr>
        <w:numPr>
          <w:ilvl w:val="0"/>
          <w:numId w:val="1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Qualificação Econômico-Financeira</w:t>
      </w:r>
    </w:p>
    <w:p w14:paraId="754C2B2D" w14:textId="77777777" w:rsidR="00475945" w:rsidRPr="00864C1D" w:rsidRDefault="00475945" w:rsidP="00475945">
      <w:pPr>
        <w:numPr>
          <w:ilvl w:val="0"/>
          <w:numId w:val="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Certidão negativa de insolvência civil expedida pelo distribuidor do dom</w:t>
      </w:r>
      <w:r w:rsidRPr="00864C1D">
        <w:rPr>
          <w:rFonts w:ascii="Bookman Old Style" w:eastAsia="Arial" w:hAnsi="Bookman Old Style" w:cs="Arial"/>
          <w:sz w:val="24"/>
          <w:szCs w:val="24"/>
        </w:rPr>
        <w:t xml:space="preserve">icílio ou sede do licitante, caso se trate de pessoa física, desde que admitida a sua participação na licitação (art. 5º, inciso II, alínea “c”, da Instrução Normativa Seges/ME n.º 116, de 2021), ou de sociedade simples; </w:t>
      </w:r>
    </w:p>
    <w:p w14:paraId="06215C35" w14:textId="77777777" w:rsidR="00475945" w:rsidRPr="00864C1D" w:rsidRDefault="00475945" w:rsidP="00475945">
      <w:pPr>
        <w:numPr>
          <w:ilvl w:val="0"/>
          <w:numId w:val="2"/>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Certidão negativa de falência expedida pelo distribuidor da sede do fornecedor - Lei n.º 14.133, de 2021, art. 69, caput, inciso II);</w:t>
      </w:r>
    </w:p>
    <w:p w14:paraId="48DAFE4C" w14:textId="77777777" w:rsidR="00475945" w:rsidRPr="00864C1D" w:rsidRDefault="00475945" w:rsidP="00475945">
      <w:pPr>
        <w:numPr>
          <w:ilvl w:val="0"/>
          <w:numId w:val="2"/>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Balanço patrimonial, demonstração de resultado de exercício e demais demonstrações contábeis dos 2 (dois) últimos exercícios sociais, comprovando:</w:t>
      </w:r>
    </w:p>
    <w:p w14:paraId="145A876C"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 Índices de Liquidez Geral (LG), Liquidez Corrente (LC), e Solvência Geral (SG) superiores a 1 (um);</w:t>
      </w:r>
    </w:p>
    <w:p w14:paraId="7009FD98"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 As empresas criadas no exercício financeiro da licitação deverão atender a todas as exigências da habilitação e poderão substituir os demonstrativos contábeis pelo balanço de abertura.</w:t>
      </w:r>
    </w:p>
    <w:p w14:paraId="4A52955F"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Os documentos referidos acima limitar-se-ão ao último exercício no caso de a pessoa jurídica ter sido constituída há menos de 2 (dois) anos;</w:t>
      </w:r>
    </w:p>
    <w:p w14:paraId="5D393FBE"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 xml:space="preserve">- Os documentos referidos acima deverão ser exigidos com base no limite definido pela Receita Federal do Brasil para transmissão da Escrituração Contábil Digital - ECD ao </w:t>
      </w:r>
      <w:proofErr w:type="spellStart"/>
      <w:r w:rsidRPr="00864C1D">
        <w:rPr>
          <w:rFonts w:ascii="Bookman Old Style" w:eastAsia="Arial" w:hAnsi="Bookman Old Style" w:cs="Arial"/>
          <w:color w:val="000000"/>
          <w:sz w:val="24"/>
          <w:szCs w:val="24"/>
        </w:rPr>
        <w:t>Sped</w:t>
      </w:r>
      <w:proofErr w:type="spellEnd"/>
      <w:r w:rsidRPr="00864C1D">
        <w:rPr>
          <w:rFonts w:ascii="Bookman Old Style" w:eastAsia="Arial" w:hAnsi="Bookman Old Style" w:cs="Arial"/>
          <w:color w:val="000000"/>
          <w:sz w:val="24"/>
          <w:szCs w:val="24"/>
        </w:rPr>
        <w:t>.</w:t>
      </w:r>
    </w:p>
    <w:p w14:paraId="784F3AE1" w14:textId="6A0B8459" w:rsidR="00475945" w:rsidRPr="00864C1D" w:rsidRDefault="00475945" w:rsidP="00475945">
      <w:pPr>
        <w:numPr>
          <w:ilvl w:val="0"/>
          <w:numId w:val="2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Caso a empresa licitante apresente resultado inferior ou igual a 1 (um) em qualquer dos índices de Liquidez Geral (LG), Solvência Geral (SG) e Liquidez Corrente (LC), será exigido para fins de habilitação capital mínimo</w:t>
      </w:r>
      <w:r w:rsidR="00D04192">
        <w:rPr>
          <w:rFonts w:ascii="Bookman Old Style" w:eastAsia="Arial" w:hAnsi="Bookman Old Style" w:cs="Arial"/>
          <w:color w:val="000000"/>
          <w:sz w:val="24"/>
          <w:szCs w:val="24"/>
        </w:rPr>
        <w:t xml:space="preserve"> de 10% da </w:t>
      </w:r>
      <w:r w:rsidR="007D404B">
        <w:rPr>
          <w:rFonts w:ascii="Bookman Old Style" w:eastAsia="Arial" w:hAnsi="Bookman Old Style" w:cs="Arial"/>
          <w:color w:val="000000"/>
          <w:sz w:val="24"/>
          <w:szCs w:val="24"/>
        </w:rPr>
        <w:t>contratação</w:t>
      </w:r>
      <w:r w:rsidRPr="00864C1D">
        <w:rPr>
          <w:rFonts w:ascii="Bookman Old Style" w:eastAsia="Arial" w:hAnsi="Bookman Old Style" w:cs="Arial"/>
          <w:color w:val="000000"/>
          <w:sz w:val="24"/>
          <w:szCs w:val="24"/>
        </w:rPr>
        <w:t>.</w:t>
      </w:r>
    </w:p>
    <w:p w14:paraId="1292C84C" w14:textId="77777777" w:rsidR="00475945" w:rsidRPr="00864C1D" w:rsidRDefault="00475945" w:rsidP="00475945">
      <w:pPr>
        <w:numPr>
          <w:ilvl w:val="0"/>
          <w:numId w:val="4"/>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As empresas criadas no exercício financeiro da licitação deverão atender a todas as exigências da habilitação e poderão substituir os demonstrativos contábeis pelo balanço de abertura. (Lei n.º 14.133, de 2021, art. 65, §1º).</w:t>
      </w:r>
    </w:p>
    <w:p w14:paraId="241AB725" w14:textId="77777777" w:rsidR="00475945" w:rsidRPr="00815418" w:rsidRDefault="00475945" w:rsidP="00475945">
      <w:pPr>
        <w:numPr>
          <w:ilvl w:val="0"/>
          <w:numId w:val="4"/>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O atendimento dos índices econômicos previstos neste item deverá ser atestado mediante declaração assinada por profissional habilitado da área contábil, apresentada pelo fornecedor.</w:t>
      </w:r>
    </w:p>
    <w:p w14:paraId="2FF0CE60" w14:textId="77777777" w:rsidR="00475945" w:rsidRPr="00815418" w:rsidRDefault="00475945" w:rsidP="00475945">
      <w:pPr>
        <w:numPr>
          <w:ilvl w:val="0"/>
          <w:numId w:val="12"/>
        </w:numPr>
        <w:pBdr>
          <w:top w:val="nil"/>
          <w:left w:val="nil"/>
          <w:bottom w:val="nil"/>
          <w:right w:val="nil"/>
          <w:between w:val="nil"/>
        </w:pBdr>
        <w:spacing w:after="120" w:line="240" w:lineRule="auto"/>
        <w:ind w:left="0" w:firstLine="0"/>
        <w:jc w:val="both"/>
        <w:rPr>
          <w:rFonts w:ascii="Bookman Old Style" w:eastAsia="Arial" w:hAnsi="Bookman Old Style" w:cs="Arial"/>
          <w:iCs/>
          <w:color w:val="000000"/>
          <w:sz w:val="24"/>
          <w:szCs w:val="24"/>
        </w:rPr>
      </w:pPr>
      <w:r w:rsidRPr="00815418">
        <w:rPr>
          <w:rFonts w:ascii="Bookman Old Style" w:eastAsia="Arial" w:hAnsi="Bookman Old Style" w:cs="Arial"/>
          <w:iCs/>
          <w:color w:val="000000"/>
          <w:sz w:val="24"/>
          <w:szCs w:val="24"/>
        </w:rPr>
        <w:t>Qualificação Técnica</w:t>
      </w:r>
    </w:p>
    <w:p w14:paraId="4429FABD" w14:textId="77777777" w:rsidR="00475945" w:rsidRDefault="00475945" w:rsidP="00475945">
      <w:pPr>
        <w:pBdr>
          <w:top w:val="nil"/>
          <w:left w:val="nil"/>
          <w:bottom w:val="nil"/>
          <w:right w:val="nil"/>
          <w:between w:val="nil"/>
        </w:pBdr>
        <w:spacing w:after="120" w:line="240" w:lineRule="auto"/>
        <w:jc w:val="both"/>
        <w:rPr>
          <w:rFonts w:ascii="Bookman Old Style" w:hAnsi="Bookman Old Style" w:cs="Helvetica"/>
          <w:color w:val="00000A"/>
          <w:sz w:val="24"/>
          <w:szCs w:val="24"/>
        </w:rPr>
      </w:pPr>
      <w:r w:rsidRPr="00864C1D">
        <w:rPr>
          <w:rFonts w:ascii="Bookman Old Style" w:eastAsia="Arial" w:hAnsi="Bookman Old Style" w:cs="Arial"/>
          <w:sz w:val="24"/>
          <w:szCs w:val="24"/>
        </w:rPr>
        <w:t xml:space="preserve">b) </w:t>
      </w:r>
      <w:r w:rsidRPr="00864C1D">
        <w:rPr>
          <w:rFonts w:ascii="Bookman Old Style" w:hAnsi="Bookman Old Style"/>
          <w:bCs/>
          <w:sz w:val="24"/>
          <w:szCs w:val="24"/>
        </w:rPr>
        <w:t xml:space="preserve">Apresentação de atestado de capacidade técnica de que já tenha prestado serviço objeto desta licitação, </w:t>
      </w:r>
      <w:r w:rsidRPr="00864C1D">
        <w:rPr>
          <w:rFonts w:ascii="Bookman Old Style" w:hAnsi="Bookman Old Style" w:cs="Helvetica"/>
          <w:color w:val="00000A"/>
          <w:sz w:val="24"/>
          <w:szCs w:val="24"/>
        </w:rPr>
        <w:t>comprovando a experiência prévia, especialmente no gerenciamento e fornecimento de cartões de vale refeição/alimentação para instituições governamentais ou empresas privadas. Além disso, é necessário demonstrar capacidade técnica para a administração eficiente e segura dos cartões, incluindo o processo de emissão, distribuição, recarga mensal conforme demanda e gerenciamento de saldo e transações.</w:t>
      </w:r>
    </w:p>
    <w:p w14:paraId="18A1BE67" w14:textId="77777777" w:rsidR="00D22DAE" w:rsidRPr="00864C1D" w:rsidRDefault="00D22DAE" w:rsidP="00475945">
      <w:pPr>
        <w:pBdr>
          <w:top w:val="nil"/>
          <w:left w:val="nil"/>
          <w:bottom w:val="nil"/>
          <w:right w:val="nil"/>
          <w:between w:val="nil"/>
        </w:pBdr>
        <w:spacing w:after="120" w:line="240" w:lineRule="auto"/>
        <w:jc w:val="both"/>
        <w:rPr>
          <w:rFonts w:ascii="Bookman Old Style" w:eastAsia="Arial" w:hAnsi="Bookman Old Style" w:cs="Arial"/>
          <w:sz w:val="24"/>
          <w:szCs w:val="24"/>
        </w:rPr>
      </w:pPr>
    </w:p>
    <w:p w14:paraId="6B0F5049"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 xml:space="preserve">     ESTIMATIVAS DO VALOR DA CONTRATAÇÃO</w:t>
      </w:r>
    </w:p>
    <w:p w14:paraId="45880106" w14:textId="77777777" w:rsidR="00475945" w:rsidRPr="00864C1D" w:rsidRDefault="00475945" w:rsidP="00475945">
      <w:pPr>
        <w:pStyle w:val="Default"/>
        <w:jc w:val="both"/>
        <w:rPr>
          <w:rFonts w:ascii="Bookman Old Style" w:hAnsi="Bookman Old Style"/>
        </w:rPr>
      </w:pPr>
    </w:p>
    <w:p w14:paraId="0D9C0A71" w14:textId="6323D284" w:rsidR="00475945" w:rsidRPr="00864C1D" w:rsidRDefault="00475945" w:rsidP="00475945">
      <w:pPr>
        <w:numPr>
          <w:ilvl w:val="1"/>
          <w:numId w:val="16"/>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color w:val="000000"/>
          <w:sz w:val="24"/>
          <w:szCs w:val="24"/>
        </w:rPr>
        <w:t>Não haverá custo para o município</w:t>
      </w:r>
      <w:r w:rsidR="00506B53">
        <w:rPr>
          <w:rFonts w:ascii="Bookman Old Style" w:eastAsia="Arial" w:hAnsi="Bookman Old Style" w:cs="Arial"/>
          <w:color w:val="000000"/>
          <w:sz w:val="24"/>
          <w:szCs w:val="24"/>
        </w:rPr>
        <w:t>/</w:t>
      </w:r>
      <w:r w:rsidR="00815418">
        <w:rPr>
          <w:rFonts w:ascii="Bookman Old Style" w:eastAsia="Arial" w:hAnsi="Bookman Old Style" w:cs="Arial"/>
          <w:color w:val="000000"/>
          <w:sz w:val="24"/>
          <w:szCs w:val="24"/>
        </w:rPr>
        <w:t>FMS/</w:t>
      </w:r>
      <w:r w:rsidR="00524125">
        <w:rPr>
          <w:rFonts w:ascii="Bookman Old Style" w:eastAsia="Arial" w:hAnsi="Bookman Old Style" w:cs="Arial"/>
          <w:color w:val="000000"/>
          <w:sz w:val="24"/>
          <w:szCs w:val="24"/>
        </w:rPr>
        <w:t>câmara</w:t>
      </w:r>
      <w:r w:rsidRPr="00864C1D">
        <w:rPr>
          <w:rFonts w:ascii="Bookman Old Style" w:eastAsia="Arial" w:hAnsi="Bookman Old Style" w:cs="Arial"/>
          <w:color w:val="000000"/>
          <w:sz w:val="24"/>
          <w:szCs w:val="24"/>
        </w:rPr>
        <w:t>. O valor a ser repassado pelo Município de Cordilheira Alta</w:t>
      </w:r>
      <w:r w:rsidR="00506B53">
        <w:rPr>
          <w:rFonts w:ascii="Bookman Old Style" w:eastAsia="Arial" w:hAnsi="Bookman Old Style" w:cs="Arial"/>
          <w:color w:val="000000"/>
          <w:sz w:val="24"/>
          <w:szCs w:val="24"/>
        </w:rPr>
        <w:t>/</w:t>
      </w:r>
      <w:r w:rsidRPr="00864C1D">
        <w:rPr>
          <w:rFonts w:ascii="Bookman Old Style" w:eastAsia="Arial" w:hAnsi="Bookman Old Style" w:cs="Arial"/>
          <w:color w:val="000000"/>
          <w:sz w:val="24"/>
          <w:szCs w:val="24"/>
        </w:rPr>
        <w:t xml:space="preserve"> Fundo Municipal de Saúde</w:t>
      </w:r>
      <w:r w:rsidR="00506B53">
        <w:rPr>
          <w:rFonts w:ascii="Bookman Old Style" w:eastAsia="Arial" w:hAnsi="Bookman Old Style" w:cs="Arial"/>
          <w:color w:val="000000"/>
          <w:sz w:val="24"/>
          <w:szCs w:val="24"/>
        </w:rPr>
        <w:t>/ Câmara</w:t>
      </w:r>
      <w:r w:rsidRPr="00864C1D">
        <w:rPr>
          <w:rFonts w:ascii="Bookman Old Style" w:eastAsia="Arial" w:hAnsi="Bookman Old Style" w:cs="Arial"/>
          <w:color w:val="000000"/>
          <w:sz w:val="24"/>
          <w:szCs w:val="24"/>
        </w:rPr>
        <w:t xml:space="preserve"> à Contratada para crédito nos cartões magnéticos dos servidores está apresentado na tabela do item 1.2 deste </w:t>
      </w:r>
      <w:r w:rsidRPr="00506B53">
        <w:rPr>
          <w:rFonts w:ascii="Bookman Old Style" w:eastAsia="Arial" w:hAnsi="Bookman Old Style" w:cs="Arial"/>
          <w:color w:val="000000"/>
          <w:sz w:val="24"/>
          <w:szCs w:val="24"/>
        </w:rPr>
        <w:t xml:space="preserve">documento, </w:t>
      </w:r>
      <w:r w:rsidRPr="00506B53">
        <w:rPr>
          <w:rFonts w:ascii="Bookman Old Style" w:eastAsia="Arial" w:hAnsi="Bookman Old Style" w:cs="Arial"/>
          <w:sz w:val="24"/>
          <w:szCs w:val="24"/>
        </w:rPr>
        <w:t xml:space="preserve">estimado em </w:t>
      </w:r>
      <w:r w:rsidR="00506B53" w:rsidRPr="00506B53">
        <w:rPr>
          <w:rFonts w:ascii="Bookman Old Style" w:eastAsia="Arial" w:hAnsi="Bookman Old Style" w:cs="Arial"/>
          <w:sz w:val="24"/>
          <w:szCs w:val="24"/>
        </w:rPr>
        <w:t>R$ 79.319,46 (setenta e nove mil, trezentos e dezenove reais e quarenta e seis centavos),</w:t>
      </w:r>
      <w:r w:rsidR="00506B53">
        <w:rPr>
          <w:rFonts w:ascii="Bookman Old Style" w:eastAsia="Arial" w:hAnsi="Bookman Old Style" w:cs="Arial"/>
          <w:sz w:val="24"/>
          <w:szCs w:val="24"/>
        </w:rPr>
        <w:t xml:space="preserve"> </w:t>
      </w:r>
      <w:r w:rsidRPr="00864C1D">
        <w:rPr>
          <w:rFonts w:ascii="Bookman Old Style" w:eastAsia="Arial" w:hAnsi="Bookman Old Style" w:cs="Arial"/>
          <w:sz w:val="24"/>
          <w:szCs w:val="24"/>
        </w:rPr>
        <w:t xml:space="preserve">perfazendo um valor total anual </w:t>
      </w:r>
      <w:r w:rsidR="00815418">
        <w:rPr>
          <w:rFonts w:ascii="Bookman Old Style" w:eastAsia="Arial" w:hAnsi="Bookman Old Style" w:cs="Arial"/>
          <w:sz w:val="24"/>
          <w:szCs w:val="24"/>
        </w:rPr>
        <w:t xml:space="preserve">estimado </w:t>
      </w:r>
      <w:r w:rsidRPr="00864C1D">
        <w:rPr>
          <w:rFonts w:ascii="Bookman Old Style" w:eastAsia="Arial" w:hAnsi="Bookman Old Style" w:cs="Arial"/>
          <w:sz w:val="24"/>
          <w:szCs w:val="24"/>
        </w:rPr>
        <w:t xml:space="preserve">de R$ </w:t>
      </w:r>
      <w:r w:rsidR="00506B53" w:rsidRPr="00506B53">
        <w:rPr>
          <w:rFonts w:ascii="Bookman Old Style" w:eastAsia="Arial" w:hAnsi="Bookman Old Style" w:cs="Arial"/>
          <w:sz w:val="24"/>
          <w:szCs w:val="24"/>
        </w:rPr>
        <w:t>951.833,52</w:t>
      </w:r>
      <w:r w:rsidRPr="00864C1D">
        <w:rPr>
          <w:rFonts w:ascii="Bookman Old Style" w:eastAsia="Arial" w:hAnsi="Bookman Old Style" w:cs="Arial"/>
          <w:sz w:val="24"/>
          <w:szCs w:val="24"/>
        </w:rPr>
        <w:t>.</w:t>
      </w:r>
    </w:p>
    <w:p w14:paraId="36493A90" w14:textId="49C1669E" w:rsidR="00475945" w:rsidRPr="00091E5B" w:rsidRDefault="00475945" w:rsidP="00475945">
      <w:pPr>
        <w:numPr>
          <w:ilvl w:val="1"/>
          <w:numId w:val="16"/>
        </w:numPr>
        <w:pBdr>
          <w:top w:val="nil"/>
          <w:left w:val="nil"/>
          <w:bottom w:val="nil"/>
          <w:right w:val="nil"/>
          <w:between w:val="nil"/>
        </w:pBdr>
        <w:spacing w:after="120" w:line="240" w:lineRule="auto"/>
        <w:ind w:left="0" w:firstLine="0"/>
        <w:jc w:val="both"/>
        <w:rPr>
          <w:rFonts w:ascii="Bookman Old Style" w:eastAsia="Arial" w:hAnsi="Bookman Old Style" w:cs="Arial"/>
          <w:sz w:val="24"/>
          <w:szCs w:val="24"/>
        </w:rPr>
      </w:pPr>
      <w:r w:rsidRPr="00091E5B">
        <w:rPr>
          <w:rFonts w:ascii="Bookman Old Style" w:eastAsia="Arial" w:hAnsi="Bookman Old Style" w:cs="Arial"/>
          <w:sz w:val="24"/>
          <w:szCs w:val="24"/>
        </w:rPr>
        <w:t>Os valores do cr</w:t>
      </w:r>
      <w:r w:rsidR="00815418">
        <w:rPr>
          <w:rFonts w:ascii="Bookman Old Style" w:eastAsia="Arial" w:hAnsi="Bookman Old Style" w:cs="Arial"/>
          <w:sz w:val="24"/>
          <w:szCs w:val="24"/>
        </w:rPr>
        <w:t>é</w:t>
      </w:r>
      <w:r w:rsidRPr="00091E5B">
        <w:rPr>
          <w:rFonts w:ascii="Bookman Old Style" w:eastAsia="Arial" w:hAnsi="Bookman Old Style" w:cs="Arial"/>
          <w:sz w:val="24"/>
          <w:szCs w:val="24"/>
        </w:rPr>
        <w:t>dito dos cartões poderão ser alterados mensalmente para mais ou para menos devido aos diversos fatores a que se aplicam, como por exemplo, admissão de servidores novos, exoneração (saída) de servidores, servidores que tenham trabalhado ao menos 20 dias durante o mês em questão, entre outros.</w:t>
      </w:r>
    </w:p>
    <w:p w14:paraId="325871EB" w14:textId="130A27F9" w:rsidR="00475945" w:rsidRPr="00864C1D" w:rsidRDefault="00475945" w:rsidP="00475945">
      <w:pPr>
        <w:numPr>
          <w:ilvl w:val="1"/>
          <w:numId w:val="16"/>
        </w:numPr>
        <w:pBdr>
          <w:top w:val="nil"/>
          <w:left w:val="nil"/>
          <w:bottom w:val="nil"/>
          <w:right w:val="nil"/>
          <w:between w:val="nil"/>
        </w:pBdr>
        <w:spacing w:after="120" w:line="240" w:lineRule="auto"/>
        <w:ind w:left="0" w:firstLine="0"/>
        <w:jc w:val="both"/>
        <w:rPr>
          <w:rFonts w:ascii="Bookman Old Style" w:eastAsia="Arial" w:hAnsi="Bookman Old Style" w:cs="Arial"/>
          <w:color w:val="FF0000"/>
          <w:sz w:val="24"/>
          <w:szCs w:val="24"/>
        </w:rPr>
      </w:pPr>
      <w:r w:rsidRPr="00864C1D">
        <w:rPr>
          <w:rFonts w:ascii="Bookman Old Style" w:hAnsi="Bookman Old Style"/>
          <w:sz w:val="24"/>
          <w:szCs w:val="24"/>
        </w:rPr>
        <w:t xml:space="preserve">Considerando que o objetivo desta contratação, além de uma gestão eficiente e transparente do benefício do auxílio alimentação é não gerar custo ao </w:t>
      </w:r>
      <w:r w:rsidR="00815418">
        <w:rPr>
          <w:rFonts w:ascii="Bookman Old Style" w:hAnsi="Bookman Old Style"/>
          <w:sz w:val="24"/>
          <w:szCs w:val="24"/>
        </w:rPr>
        <w:t>contratante</w:t>
      </w:r>
      <w:r w:rsidRPr="00864C1D">
        <w:rPr>
          <w:rFonts w:ascii="Bookman Old Style" w:hAnsi="Bookman Old Style"/>
          <w:sz w:val="24"/>
          <w:szCs w:val="24"/>
        </w:rPr>
        <w:t>, os licitantes poderão ofertar a taxa de administração para esta licitação em percentual 0% (zero por cento), sendo aceito percentual negativo  conforme entendimento do TCE/SC, na recente Decisão n. 1108/2022, proferida nos autos do processo @REP n. 22/80009204 nessa mesma linha, cabe mencionar, também, as decisões proferidas pela Corte de Contas nos processos @REP n.19/0002140, @REP n. 19/0003812 e @REP n. 19/00635566, dentre tantos outros nos quais essa matéria já foi enfrentada por esse Tribunal e concluiu-se igualmente pela irregularidade da proibição de apresentação de taxa negativa, e jurisprudência do TCE/PR de 21 de maio de 2024, constante no link abaixo e em anexo.</w:t>
      </w:r>
    </w:p>
    <w:p w14:paraId="3BC45F45" w14:textId="33306A49" w:rsidR="00475945"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FF0000"/>
          <w:sz w:val="24"/>
          <w:szCs w:val="24"/>
        </w:rPr>
      </w:pPr>
      <w:r w:rsidRPr="00864C1D">
        <w:rPr>
          <w:rFonts w:ascii="Bookman Old Style" w:hAnsi="Bookman Old Style"/>
          <w:sz w:val="24"/>
          <w:szCs w:val="24"/>
        </w:rPr>
        <w:t xml:space="preserve"> </w:t>
      </w:r>
      <w:hyperlink r:id="rId6" w:anchor=":~:text=Assim%2C%20o%20Prejulgado%20n%C2%BA%2034,de%20cart%C3%B5es%20ou%20instrumentos%20cong%C3%AAneres" w:history="1">
        <w:r w:rsidRPr="00864C1D">
          <w:rPr>
            <w:rStyle w:val="Hyperlink"/>
            <w:rFonts w:ascii="Bookman Old Style" w:hAnsi="Bookman Old Style"/>
            <w:sz w:val="24"/>
            <w:szCs w:val="24"/>
          </w:rPr>
          <w:t>https://www1.tce.pr.gov.br/noticias/tce-pr-esclarece-que-taxa-negativa-em-licitacao-de-auxilio-alimentacao-e-possivel/11356/N#:~:text=Assim%2C%20o%20Prejulgado%20n%C2%BA%2034,de%20cart%C3%B5es%20ou%20instrumentos%20cong%C3%AAneres</w:t>
        </w:r>
      </w:hyperlink>
    </w:p>
    <w:p w14:paraId="636A43D1" w14:textId="77777777" w:rsidR="008C626B" w:rsidRPr="008C626B" w:rsidRDefault="008C626B" w:rsidP="00EE3D85">
      <w:pPr>
        <w:pBdr>
          <w:top w:val="nil"/>
          <w:left w:val="nil"/>
          <w:bottom w:val="nil"/>
          <w:right w:val="nil"/>
          <w:between w:val="nil"/>
        </w:pBdr>
        <w:spacing w:after="0" w:line="240" w:lineRule="auto"/>
        <w:jc w:val="both"/>
        <w:rPr>
          <w:rFonts w:ascii="Bookman Old Style" w:eastAsia="Arial" w:hAnsi="Bookman Old Style" w:cs="Arial"/>
          <w:color w:val="FF0000"/>
          <w:sz w:val="24"/>
          <w:szCs w:val="24"/>
        </w:rPr>
      </w:pPr>
    </w:p>
    <w:p w14:paraId="7787ADD5"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ADEQUAÇÃO ORÇAMENTÁRIA</w:t>
      </w:r>
    </w:p>
    <w:p w14:paraId="2B24C76E"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3D0394F6" w14:textId="77777777" w:rsidR="00475945" w:rsidRPr="00091E5B" w:rsidRDefault="00475945" w:rsidP="00475945">
      <w:pPr>
        <w:numPr>
          <w:ilvl w:val="1"/>
          <w:numId w:val="1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091E5B">
        <w:rPr>
          <w:rFonts w:ascii="Bookman Old Style" w:eastAsia="Arial" w:hAnsi="Bookman Old Style" w:cs="Arial"/>
          <w:color w:val="000000"/>
          <w:sz w:val="24"/>
          <w:szCs w:val="24"/>
        </w:rPr>
        <w:t>As despesas decorrentes dos vales correrão à conta de recursos específicos consignados no orçamento do respectivo órgão público.</w:t>
      </w:r>
    </w:p>
    <w:p w14:paraId="4D767E94" w14:textId="77777777" w:rsidR="00475945" w:rsidRPr="00091E5B" w:rsidRDefault="00475945" w:rsidP="00475945">
      <w:pPr>
        <w:numPr>
          <w:ilvl w:val="1"/>
          <w:numId w:val="1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091E5B">
        <w:rPr>
          <w:rFonts w:ascii="Bookman Old Style" w:eastAsia="Arial" w:hAnsi="Bookman Old Style" w:cs="Arial"/>
          <w:color w:val="000000"/>
          <w:sz w:val="24"/>
          <w:szCs w:val="24"/>
        </w:rPr>
        <w:t>A contratação será atendida pela seguinte dotação:</w:t>
      </w:r>
    </w:p>
    <w:tbl>
      <w:tblPr>
        <w:tblW w:w="8861" w:type="dxa"/>
        <w:tblInd w:w="70" w:type="dxa"/>
        <w:tblCellMar>
          <w:left w:w="70" w:type="dxa"/>
          <w:right w:w="70" w:type="dxa"/>
        </w:tblCellMar>
        <w:tblLook w:val="04A0" w:firstRow="1" w:lastRow="0" w:firstColumn="1" w:lastColumn="0" w:noHBand="0" w:noVBand="1"/>
      </w:tblPr>
      <w:tblGrid>
        <w:gridCol w:w="5884"/>
        <w:gridCol w:w="2977"/>
      </w:tblGrid>
      <w:tr w:rsidR="00475945" w:rsidRPr="0025198B" w14:paraId="06D824C3" w14:textId="77777777" w:rsidTr="0025198B">
        <w:trPr>
          <w:trHeight w:val="288"/>
        </w:trPr>
        <w:tc>
          <w:tcPr>
            <w:tcW w:w="5884" w:type="dxa"/>
            <w:tcBorders>
              <w:top w:val="nil"/>
              <w:left w:val="nil"/>
              <w:bottom w:val="single" w:sz="4" w:space="0" w:color="auto"/>
              <w:right w:val="nil"/>
            </w:tcBorders>
            <w:shd w:val="clear" w:color="000000" w:fill="E7E6E6"/>
            <w:noWrap/>
            <w:vAlign w:val="bottom"/>
            <w:hideMark/>
          </w:tcPr>
          <w:p w14:paraId="55E2CC1B" w14:textId="77777777" w:rsidR="00475945" w:rsidRPr="0025198B" w:rsidRDefault="00475945" w:rsidP="001435E6">
            <w:pPr>
              <w:spacing w:after="0" w:line="240" w:lineRule="auto"/>
              <w:rPr>
                <w:rFonts w:ascii="Bookman Old Style" w:eastAsia="Times New Roman" w:hAnsi="Bookman Old Style"/>
                <w:b/>
                <w:bCs/>
                <w:color w:val="000000"/>
              </w:rPr>
            </w:pPr>
            <w:r w:rsidRPr="0025198B">
              <w:rPr>
                <w:rFonts w:ascii="Bookman Old Style" w:eastAsia="Times New Roman" w:hAnsi="Bookman Old Style"/>
                <w:b/>
                <w:bCs/>
                <w:color w:val="000000"/>
              </w:rPr>
              <w:t>Setor</w:t>
            </w:r>
          </w:p>
        </w:tc>
        <w:tc>
          <w:tcPr>
            <w:tcW w:w="2977" w:type="dxa"/>
            <w:tcBorders>
              <w:top w:val="nil"/>
              <w:left w:val="nil"/>
              <w:bottom w:val="single" w:sz="4" w:space="0" w:color="auto"/>
              <w:right w:val="nil"/>
            </w:tcBorders>
            <w:shd w:val="clear" w:color="000000" w:fill="E7E6E6"/>
            <w:noWrap/>
            <w:vAlign w:val="bottom"/>
            <w:hideMark/>
          </w:tcPr>
          <w:p w14:paraId="78BD0790" w14:textId="77777777" w:rsidR="00475945" w:rsidRPr="0025198B" w:rsidRDefault="00475945" w:rsidP="001435E6">
            <w:pPr>
              <w:spacing w:after="0" w:line="240" w:lineRule="auto"/>
              <w:rPr>
                <w:rFonts w:ascii="Bookman Old Style" w:eastAsia="Times New Roman" w:hAnsi="Bookman Old Style"/>
                <w:b/>
                <w:bCs/>
                <w:color w:val="000000"/>
              </w:rPr>
            </w:pPr>
            <w:r w:rsidRPr="0025198B">
              <w:rPr>
                <w:rFonts w:ascii="Bookman Old Style" w:eastAsia="Times New Roman" w:hAnsi="Bookman Old Style"/>
                <w:b/>
                <w:bCs/>
                <w:color w:val="000000"/>
              </w:rPr>
              <w:t>Dotação</w:t>
            </w:r>
          </w:p>
        </w:tc>
      </w:tr>
      <w:tr w:rsidR="00475945" w:rsidRPr="0025198B" w14:paraId="2081C715" w14:textId="77777777" w:rsidTr="0025198B">
        <w:trPr>
          <w:trHeight w:val="288"/>
        </w:trPr>
        <w:tc>
          <w:tcPr>
            <w:tcW w:w="58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28802" w14:textId="07AC3BC0" w:rsidR="00475945" w:rsidRPr="0025198B" w:rsidRDefault="00CC06AA" w:rsidP="001435E6">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Município de Cordilheira Alta SC</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7BE87948" w14:textId="28388492" w:rsidR="00475945" w:rsidRPr="0025198B" w:rsidRDefault="00475945" w:rsidP="001435E6">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3390/2212</w:t>
            </w:r>
            <w:r w:rsidR="00CC06AA" w:rsidRPr="0025198B">
              <w:rPr>
                <w:rFonts w:ascii="Bookman Old Style" w:eastAsia="Times New Roman" w:hAnsi="Bookman Old Style"/>
                <w:color w:val="000000"/>
              </w:rPr>
              <w:t xml:space="preserve"> e 3390/2210</w:t>
            </w:r>
          </w:p>
        </w:tc>
      </w:tr>
      <w:tr w:rsidR="008C626B" w:rsidRPr="0025198B" w14:paraId="6A1CD4BB" w14:textId="77777777" w:rsidTr="0025198B">
        <w:trPr>
          <w:trHeight w:val="288"/>
        </w:trPr>
        <w:tc>
          <w:tcPr>
            <w:tcW w:w="58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C0E25C" w14:textId="204D7332" w:rsidR="008C626B" w:rsidRPr="0025198B" w:rsidRDefault="008C626B" w:rsidP="008C626B">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Fundo Municipal de Saúde de Cordilheira Alta SC</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74B8A19C" w14:textId="56491A6E" w:rsidR="008C626B" w:rsidRPr="0025198B" w:rsidRDefault="008C626B" w:rsidP="008C626B">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3390/2211</w:t>
            </w:r>
          </w:p>
        </w:tc>
      </w:tr>
      <w:tr w:rsidR="008C626B" w:rsidRPr="0025198B" w14:paraId="012AD22B" w14:textId="77777777" w:rsidTr="0025198B">
        <w:trPr>
          <w:trHeight w:val="288"/>
        </w:trPr>
        <w:tc>
          <w:tcPr>
            <w:tcW w:w="588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9CC221" w14:textId="4CAD7170" w:rsidR="008C626B" w:rsidRPr="0025198B" w:rsidRDefault="008C626B" w:rsidP="008C626B">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Câmara Municipal de Cordilheira Alta SC</w:t>
            </w:r>
          </w:p>
        </w:tc>
        <w:tc>
          <w:tcPr>
            <w:tcW w:w="2977" w:type="dxa"/>
            <w:tcBorders>
              <w:top w:val="single" w:sz="4" w:space="0" w:color="auto"/>
              <w:left w:val="nil"/>
              <w:bottom w:val="single" w:sz="4" w:space="0" w:color="auto"/>
              <w:right w:val="single" w:sz="4" w:space="0" w:color="auto"/>
            </w:tcBorders>
            <w:shd w:val="clear" w:color="auto" w:fill="auto"/>
            <w:noWrap/>
            <w:vAlign w:val="bottom"/>
          </w:tcPr>
          <w:p w14:paraId="65D03FC2" w14:textId="34E5C2EF" w:rsidR="008C626B" w:rsidRPr="0025198B" w:rsidRDefault="008C626B" w:rsidP="008C626B">
            <w:pPr>
              <w:spacing w:after="0" w:line="240" w:lineRule="auto"/>
              <w:rPr>
                <w:rFonts w:ascii="Bookman Old Style" w:eastAsia="Times New Roman" w:hAnsi="Bookman Old Style"/>
                <w:color w:val="000000"/>
              </w:rPr>
            </w:pPr>
            <w:r w:rsidRPr="0025198B">
              <w:rPr>
                <w:rFonts w:ascii="Bookman Old Style" w:eastAsia="Times New Roman" w:hAnsi="Bookman Old Style"/>
                <w:color w:val="000000"/>
              </w:rPr>
              <w:t>3390/2001/46</w:t>
            </w:r>
          </w:p>
        </w:tc>
      </w:tr>
    </w:tbl>
    <w:p w14:paraId="2DBF27DA" w14:textId="77777777" w:rsidR="00475945" w:rsidRDefault="00475945" w:rsidP="00475945">
      <w:pPr>
        <w:pBdr>
          <w:top w:val="nil"/>
          <w:left w:val="nil"/>
          <w:bottom w:val="nil"/>
          <w:right w:val="nil"/>
          <w:between w:val="nil"/>
        </w:pBdr>
        <w:spacing w:after="0" w:line="240" w:lineRule="auto"/>
        <w:jc w:val="both"/>
        <w:rPr>
          <w:rFonts w:ascii="Bookman Old Style" w:eastAsia="Arial" w:hAnsi="Bookman Old Style" w:cs="Arial"/>
          <w:color w:val="000000"/>
          <w:sz w:val="24"/>
          <w:szCs w:val="24"/>
        </w:rPr>
      </w:pPr>
    </w:p>
    <w:p w14:paraId="1968AB04" w14:textId="77777777" w:rsidR="00475945" w:rsidRPr="00D764AC" w:rsidRDefault="00475945" w:rsidP="00475945">
      <w:pPr>
        <w:pStyle w:val="PargrafodaLista"/>
        <w:numPr>
          <w:ilvl w:val="2"/>
          <w:numId w:val="17"/>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D764AC">
        <w:rPr>
          <w:rFonts w:ascii="Bookman Old Style" w:eastAsia="Arial" w:hAnsi="Bookman Old Style" w:cs="Arial"/>
          <w:color w:val="000000"/>
          <w:sz w:val="24"/>
          <w:szCs w:val="24"/>
        </w:rPr>
        <w:t>A dotação relativa aos exercícios financeiros subsequentes será indicada após aprovação da Lei Orçamentária respectiva e liberação dos créditos correspondentes, mediante apostilamento.</w:t>
      </w:r>
    </w:p>
    <w:p w14:paraId="5F75839B"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i/>
          <w:color w:val="FF0000"/>
          <w:sz w:val="24"/>
          <w:szCs w:val="24"/>
        </w:rPr>
      </w:pPr>
    </w:p>
    <w:p w14:paraId="3A46B244"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sz w:val="24"/>
          <w:szCs w:val="24"/>
        </w:rPr>
        <w:t>RESPONSABILIDADES</w:t>
      </w:r>
      <w:r w:rsidRPr="00864C1D">
        <w:rPr>
          <w:rFonts w:ascii="Bookman Old Style" w:eastAsia="Arial" w:hAnsi="Bookman Old Style" w:cs="Arial"/>
          <w:b/>
          <w:color w:val="000000"/>
          <w:sz w:val="24"/>
          <w:szCs w:val="24"/>
        </w:rPr>
        <w:t xml:space="preserve"> DO CONTRATADO</w:t>
      </w:r>
    </w:p>
    <w:p w14:paraId="4531B631"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1F274753" w14:textId="77777777" w:rsidR="00475945" w:rsidRPr="00815418"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deve cumprir todas as obrigações constantes deste Termo de referência, assumindo como exclusivamente seus os riscos e as despesas decorrentes da boa e perfeita execução do objeto, observando, ainda, </w:t>
      </w:r>
      <w:r w:rsidRPr="00815418">
        <w:rPr>
          <w:rFonts w:ascii="Bookman Old Style" w:eastAsia="Arial" w:hAnsi="Bookman Old Style" w:cs="Arial"/>
          <w:color w:val="000000"/>
          <w:sz w:val="24"/>
          <w:szCs w:val="24"/>
        </w:rPr>
        <w:t>as obrigações a seguir dispostas:</w:t>
      </w:r>
    </w:p>
    <w:p w14:paraId="40E8069B" w14:textId="77777777" w:rsidR="00475945" w:rsidRPr="00815418"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15418">
        <w:rPr>
          <w:rFonts w:ascii="Bookman Old Style" w:eastAsia="Arial" w:hAnsi="Bookman Old Style" w:cs="Arial"/>
          <w:color w:val="000000"/>
          <w:sz w:val="24"/>
          <w:szCs w:val="24"/>
        </w:rPr>
        <w:t>Entregar o objeto acompanhado do manual do usuário, e efetuar treinamento aos fiscais de contrato, de forma a poderem orientar corretamente os servidores quanto ao uso dos cartões magnéticos;</w:t>
      </w:r>
    </w:p>
    <w:p w14:paraId="20523EC7"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Responsabilizar-se pelos vícios e danos decorrentes do objeto, de acordo com o Código de Defesa do Consumidor (Lei n.º 8.078, de 1990);</w:t>
      </w:r>
    </w:p>
    <w:p w14:paraId="0E3F234D"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Comunicar ao </w:t>
      </w:r>
      <w:r w:rsidRPr="00864C1D">
        <w:rPr>
          <w:rFonts w:ascii="Bookman Old Style" w:eastAsia="Arial" w:hAnsi="Bookman Old Style" w:cs="Arial"/>
          <w:bCs/>
          <w:color w:val="000000"/>
          <w:sz w:val="24"/>
          <w:szCs w:val="24"/>
        </w:rPr>
        <w:t>CONTRATANTE</w:t>
      </w:r>
      <w:r w:rsidRPr="00864C1D">
        <w:rPr>
          <w:rFonts w:ascii="Bookman Old Style" w:eastAsia="Arial" w:hAnsi="Bookman Old Style" w:cs="Arial"/>
          <w:color w:val="000000"/>
          <w:sz w:val="24"/>
          <w:szCs w:val="24"/>
        </w:rPr>
        <w:t>, no prazo máximo de 48 horas que antecede a data da entrega, os motivos que impossibilitem o cumprimento do prazo previsto, com a devida comprovação;</w:t>
      </w:r>
    </w:p>
    <w:p w14:paraId="2739EDA2"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Atender às determinações regulares emitidas pelo fiscal ou gestor do contrato ou autoridade superior (Art. 137, II, da Lei n.º 14.133/2021) e prestar todo esclarecimento ou informação por eles solicitados;</w:t>
      </w:r>
    </w:p>
    <w:p w14:paraId="745E1D37"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993BE1D"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color w:val="000000"/>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Pr="00864C1D">
        <w:rPr>
          <w:rFonts w:ascii="Bookman Old Style" w:eastAsia="Arial" w:hAnsi="Bookman Old Style" w:cs="Arial"/>
          <w:bCs/>
          <w:color w:val="000000"/>
          <w:sz w:val="24"/>
          <w:szCs w:val="24"/>
        </w:rPr>
        <w:t>CONTRATANTE, que ficará autorizado a descontar dos pagamentos devidos ou da garantia, caso exigida, o valor correspondente aos danos sofridos;</w:t>
      </w:r>
    </w:p>
    <w:p w14:paraId="13F1578C"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Quando não for possível a verificação da regularidade no Sistema de Cadastro de Fornecedores – SICAF, 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deverá entregar ao setor responsável pela fiscalização do contrato, junto com a Nota Fiscal para fins de pagamento, os seguintes documentos: </w:t>
      </w:r>
    </w:p>
    <w:p w14:paraId="2CB856C0"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1) Prova de regularidade relativa à Seguridade Social; </w:t>
      </w:r>
    </w:p>
    <w:p w14:paraId="36E4C2C4"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2) Certidão conjunta relativa aos tributos federais e à Dívida Ativa da União; </w:t>
      </w:r>
    </w:p>
    <w:p w14:paraId="0110A9D5"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3) Certidões que comprovem a regularidade perante a Fazenda Estadual ou Distrital do domicílio ou sede do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w:t>
      </w:r>
    </w:p>
    <w:p w14:paraId="774FEE92"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4) Certidão de Regularidade do FGTS – CRF; e </w:t>
      </w:r>
    </w:p>
    <w:p w14:paraId="50805EF6"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5) Certidão Negativa de Débitos Trabalhistas – CNDT.</w:t>
      </w:r>
    </w:p>
    <w:p w14:paraId="67C7D569"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color w:val="000000"/>
          <w:sz w:val="24"/>
          <w:szCs w:val="24"/>
        </w:rPr>
        <w:t xml:space="preserve">Responsabilizar-se pelo cumprimento de todas as obrigações trabalhistas, previdenciárias, fiscais, comerciais e as demais previstas em legislação específica, cuja inadimplência não transfere a responsabilidade ao </w:t>
      </w:r>
      <w:r w:rsidRPr="00864C1D">
        <w:rPr>
          <w:rFonts w:ascii="Bookman Old Style" w:eastAsia="Arial" w:hAnsi="Bookman Old Style" w:cs="Arial"/>
          <w:bCs/>
          <w:color w:val="000000"/>
          <w:sz w:val="24"/>
          <w:szCs w:val="24"/>
        </w:rPr>
        <w:t>CONTRATANTE e não poderá onerar o objeto do contrato;</w:t>
      </w:r>
    </w:p>
    <w:p w14:paraId="7853195F"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bCs/>
          <w:color w:val="000000"/>
          <w:sz w:val="24"/>
          <w:szCs w:val="24"/>
        </w:rPr>
        <w:t>Comunicar ao Fiscal do contrato, no prazo de 24 (vinte e quatro) horas, qualquer ocorrência anormal ou acidente que se verifique no local da execução do objeto contratual;</w:t>
      </w:r>
    </w:p>
    <w:p w14:paraId="270157DC"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bCs/>
          <w:color w:val="000000"/>
          <w:sz w:val="24"/>
          <w:szCs w:val="24"/>
        </w:rPr>
        <w:t>Paralisar, por determinação do CONTRATANTE, qualquer atividade que não esteja sendo executada de acordo com a boa</w:t>
      </w:r>
      <w:r w:rsidRPr="00864C1D">
        <w:rPr>
          <w:rFonts w:ascii="Bookman Old Style" w:eastAsia="Arial" w:hAnsi="Bookman Old Style" w:cs="Arial"/>
          <w:color w:val="000000"/>
          <w:sz w:val="24"/>
          <w:szCs w:val="24"/>
        </w:rPr>
        <w:t xml:space="preserve"> técnica ou que ponha em risco a segurança de pessoas ou bens de terceiros;</w:t>
      </w:r>
    </w:p>
    <w:p w14:paraId="7994609F"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Manter, durante toda a vigência do contrato, em compatibilidade com as obrigações assumidas, todas as condições exigidas para habilitação na licitação; </w:t>
      </w:r>
    </w:p>
    <w:p w14:paraId="4C4B9B76"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Cumprir, durante todo o período de execução do contrato, a reserva de cargos prevista em lei para pessoa com deficiência, para reabilitado da Previdência Social ou para aprendiz, bem como as reservas de cargos previstas na legislação (Art. 116 da Lei n.º 14.133/ 2021);</w:t>
      </w:r>
    </w:p>
    <w:p w14:paraId="0B97E6B2"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Comprovar a reserva de cargos a que se refere à cláusula acima, no prazo fixado pelo fiscal do contrato, com a indicação dos empregados que preencheram as referidas vagas (Art. 116, parágrafo único, da Lei n.º 14.133/2021);</w:t>
      </w:r>
    </w:p>
    <w:p w14:paraId="5D79F28F"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Guardar sigilo sobre todas as informações obtidas em decorrência do cumprimento do contrato; </w:t>
      </w:r>
    </w:p>
    <w:p w14:paraId="2A5B451F"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0A7782B1" w14:textId="77777777" w:rsidR="00475945" w:rsidRPr="00864C1D" w:rsidRDefault="00475945" w:rsidP="00475945">
      <w:pPr>
        <w:numPr>
          <w:ilvl w:val="1"/>
          <w:numId w:val="18"/>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Cumprir, além dos postulados legais vigentes de âmbito federal, estadual ou municipal, as normas de segurança do </w:t>
      </w:r>
      <w:r w:rsidRPr="00864C1D">
        <w:rPr>
          <w:rFonts w:ascii="Bookman Old Style" w:eastAsia="Arial" w:hAnsi="Bookman Old Style" w:cs="Arial"/>
          <w:bCs/>
          <w:color w:val="000000"/>
          <w:sz w:val="24"/>
          <w:szCs w:val="24"/>
        </w:rPr>
        <w:t>CONTRATANTE;</w:t>
      </w:r>
    </w:p>
    <w:p w14:paraId="25DD7E45"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3D41D8DC"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RESPONSABILIDADES DO CONTRATANTE</w:t>
      </w:r>
    </w:p>
    <w:p w14:paraId="222947D1"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24B4D2E0"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São obrigações do CONTRATANTE, exigir o cumprimento de todas as obrigações assumidas pelo CONTRATADO;</w:t>
      </w:r>
    </w:p>
    <w:p w14:paraId="480AACD2"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Receber o objeto no prazo e condições estabelecidas neste Termo de Referência;</w:t>
      </w:r>
    </w:p>
    <w:p w14:paraId="5C94DF23"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Notificar 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por escrito sobre vícios, defeitos ou incorreções verificadas no objeto fornecido, para que seja por ele substituído, reparado ou corrigido, no total ou em parte, às suas expensas;</w:t>
      </w:r>
    </w:p>
    <w:p w14:paraId="56411C4D"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Acompanhar e fiscalizar a execução do contrato e o cumprimento das obrigações pelo CONTRATADO;</w:t>
      </w:r>
    </w:p>
    <w:p w14:paraId="1AE7A6F8"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Comunicar a empresa para emissão de Nota Fiscal no que for pertinente à parcela incontroversa da execução do objeto, para efeito de liquidação e pagamento, quando houver controvérsia sobre a execução do objeto, quanto à dimensão, qualidade e quantidade, conforme o art. 143 da Lei n.º 14.133/2021;</w:t>
      </w:r>
    </w:p>
    <w:p w14:paraId="43FD2846"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Efetuar o pagamento ao </w:t>
      </w:r>
      <w:r w:rsidRPr="00864C1D">
        <w:rPr>
          <w:rFonts w:ascii="Bookman Old Style" w:eastAsia="Arial" w:hAnsi="Bookman Old Style" w:cs="Arial"/>
          <w:bCs/>
          <w:color w:val="000000"/>
          <w:sz w:val="24"/>
          <w:szCs w:val="24"/>
        </w:rPr>
        <w:t>CONTRATADO d</w:t>
      </w:r>
      <w:r w:rsidRPr="00864C1D">
        <w:rPr>
          <w:rFonts w:ascii="Bookman Old Style" w:eastAsia="Arial" w:hAnsi="Bookman Old Style" w:cs="Arial"/>
          <w:color w:val="000000"/>
          <w:sz w:val="24"/>
          <w:szCs w:val="24"/>
        </w:rPr>
        <w:t>o valor correspondente à execução do objeto, no prazo, forma e condições estabelecidos no Contrato e no Termo de Referência;</w:t>
      </w:r>
    </w:p>
    <w:p w14:paraId="61FED766"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color w:val="000000"/>
          <w:sz w:val="24"/>
          <w:szCs w:val="24"/>
        </w:rPr>
        <w:t xml:space="preserve">Aplicar ao </w:t>
      </w:r>
      <w:r w:rsidRPr="00864C1D">
        <w:rPr>
          <w:rFonts w:ascii="Bookman Old Style" w:eastAsia="Arial" w:hAnsi="Bookman Old Style" w:cs="Arial"/>
          <w:bCs/>
          <w:color w:val="000000"/>
          <w:sz w:val="24"/>
          <w:szCs w:val="24"/>
        </w:rPr>
        <w:t xml:space="preserve">CONTRATADO as sanções previstas na lei; </w:t>
      </w:r>
    </w:p>
    <w:p w14:paraId="089A5952"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Cientificar o órgão de representação da Controladoria Geral do Município para adoção das medidas cabíveis quando do descumprimento de obrigações pelo CONTRATADO;</w:t>
      </w:r>
    </w:p>
    <w:p w14:paraId="24615C88"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6279AA8" w14:textId="77777777" w:rsidR="00475945" w:rsidRPr="00864C1D" w:rsidRDefault="00475945" w:rsidP="00475945">
      <w:pPr>
        <w:numPr>
          <w:ilvl w:val="1"/>
          <w:numId w:val="19"/>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 Administração não responderá por quaisquer compromissos assumidos pelo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com terceiros, ainda que vinculados à execução do contrato, bem como por qualquer dano causado a terceiros em decorrência de ato do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de seus empregados, prepostos ou subordinados.</w:t>
      </w:r>
    </w:p>
    <w:p w14:paraId="78650348" w14:textId="77777777" w:rsidR="00475945" w:rsidRPr="00864C1D" w:rsidRDefault="00475945"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563BE2B5" w14:textId="77777777" w:rsidR="00475945" w:rsidRPr="00864C1D" w:rsidRDefault="00475945" w:rsidP="00475945">
      <w:pPr>
        <w:keepNext/>
        <w:keepLines/>
        <w:numPr>
          <w:ilvl w:val="0"/>
          <w:numId w:val="26"/>
        </w:numPr>
        <w:pBdr>
          <w:top w:val="nil"/>
          <w:left w:val="nil"/>
          <w:bottom w:val="nil"/>
          <w:right w:val="nil"/>
          <w:between w:val="nil"/>
        </w:pBdr>
        <w:spacing w:after="120" w:line="240" w:lineRule="auto"/>
        <w:ind w:left="0" w:firstLine="0"/>
        <w:jc w:val="both"/>
        <w:rPr>
          <w:rFonts w:ascii="Bookman Old Style" w:eastAsia="Arial" w:hAnsi="Bookman Old Style" w:cs="Arial"/>
          <w:b/>
          <w:color w:val="000000"/>
          <w:sz w:val="24"/>
          <w:szCs w:val="24"/>
        </w:rPr>
      </w:pPr>
      <w:r w:rsidRPr="00864C1D">
        <w:rPr>
          <w:rFonts w:ascii="Bookman Old Style" w:eastAsia="Arial" w:hAnsi="Bookman Old Style" w:cs="Arial"/>
          <w:b/>
          <w:color w:val="000000"/>
          <w:sz w:val="24"/>
          <w:szCs w:val="24"/>
        </w:rPr>
        <w:t>INFRAÇÕES E SANÇÕES ADMIN</w:t>
      </w:r>
      <w:r w:rsidRPr="00864C1D">
        <w:rPr>
          <w:rFonts w:ascii="Bookman Old Style" w:eastAsia="Arial" w:hAnsi="Bookman Old Style" w:cs="Arial"/>
          <w:b/>
          <w:sz w:val="24"/>
          <w:szCs w:val="24"/>
        </w:rPr>
        <w:t>I</w:t>
      </w:r>
      <w:r w:rsidRPr="00864C1D">
        <w:rPr>
          <w:rFonts w:ascii="Bookman Old Style" w:eastAsia="Arial" w:hAnsi="Bookman Old Style" w:cs="Arial"/>
          <w:b/>
          <w:color w:val="000000"/>
          <w:sz w:val="24"/>
          <w:szCs w:val="24"/>
        </w:rPr>
        <w:t>STRATIVAS</w:t>
      </w:r>
    </w:p>
    <w:p w14:paraId="527515D7" w14:textId="77777777" w:rsidR="00475945" w:rsidRPr="00864C1D" w:rsidRDefault="00475945" w:rsidP="00475945">
      <w:pPr>
        <w:keepNext/>
        <w:keepLines/>
        <w:pBdr>
          <w:top w:val="nil"/>
          <w:left w:val="nil"/>
          <w:bottom w:val="nil"/>
          <w:right w:val="nil"/>
          <w:between w:val="nil"/>
        </w:pBdr>
        <w:spacing w:after="0" w:line="240" w:lineRule="auto"/>
        <w:rPr>
          <w:rFonts w:ascii="Bookman Old Style" w:eastAsia="Arial" w:hAnsi="Bookman Old Style" w:cs="Arial"/>
          <w:b/>
          <w:color w:val="000000"/>
          <w:sz w:val="24"/>
          <w:szCs w:val="24"/>
        </w:rPr>
      </w:pPr>
    </w:p>
    <w:p w14:paraId="70D3BC02"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Comete infração administrativa, nos termos da Lei n.º 14.133/2021, o </w:t>
      </w:r>
      <w:r w:rsidRPr="00864C1D">
        <w:rPr>
          <w:rFonts w:ascii="Bookman Old Style" w:eastAsia="Arial" w:hAnsi="Bookman Old Style" w:cs="Arial"/>
          <w:bCs/>
          <w:color w:val="000000"/>
          <w:sz w:val="24"/>
          <w:szCs w:val="24"/>
        </w:rPr>
        <w:t>CONTRATADO q</w:t>
      </w:r>
      <w:r w:rsidRPr="00864C1D">
        <w:rPr>
          <w:rFonts w:ascii="Bookman Old Style" w:eastAsia="Arial" w:hAnsi="Bookman Old Style" w:cs="Arial"/>
          <w:color w:val="000000"/>
          <w:sz w:val="24"/>
          <w:szCs w:val="24"/>
        </w:rPr>
        <w:t>ue:</w:t>
      </w:r>
    </w:p>
    <w:p w14:paraId="05E08FF1"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Der causa à inexecução parcial do contrato;</w:t>
      </w:r>
    </w:p>
    <w:p w14:paraId="12FEC3BB"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Der causa à inexecução parcial do contrato que cause grave dano à Administração ou ao funcionamento dos serviços públicos ou ao interesse coletivo;</w:t>
      </w:r>
    </w:p>
    <w:p w14:paraId="52A792BB"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Der causa à inexecução total do contrato;</w:t>
      </w:r>
    </w:p>
    <w:p w14:paraId="01B4F9D0"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Ensejar o retardamento da execução ou da entrega do objeto da contratação sem motivo justificado;</w:t>
      </w:r>
    </w:p>
    <w:p w14:paraId="16E046EE"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Apresentar documentação falsa ou prestar declaração falsa durante a execução do contrato;</w:t>
      </w:r>
    </w:p>
    <w:p w14:paraId="350DCBF1"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Praticar ato fraudulento na execução do contrato;</w:t>
      </w:r>
    </w:p>
    <w:p w14:paraId="6D559EDC"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Comportar-se de modo inidôneo ou cometer fraude de qualquer natureza;</w:t>
      </w:r>
    </w:p>
    <w:p w14:paraId="08BC549D" w14:textId="77777777" w:rsidR="00475945" w:rsidRPr="00864C1D" w:rsidRDefault="00475945" w:rsidP="00475945">
      <w:pPr>
        <w:numPr>
          <w:ilvl w:val="2"/>
          <w:numId w:val="6"/>
        </w:numPr>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Praticar ato lesivo previsto no art. 5º da Lei n.º 12.846, de 1º de agosto de 2013.</w:t>
      </w:r>
    </w:p>
    <w:p w14:paraId="3C06B3B9"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Serão aplicadas ao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que incorrer nas infrações acima descritas as seguintes sanções:</w:t>
      </w:r>
    </w:p>
    <w:p w14:paraId="68298BE2" w14:textId="77777777" w:rsidR="00475945" w:rsidRPr="00864C1D" w:rsidRDefault="00475945" w:rsidP="00475945">
      <w:pPr>
        <w:numPr>
          <w:ilvl w:val="0"/>
          <w:numId w:val="23"/>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bCs/>
          <w:color w:val="000000"/>
          <w:sz w:val="24"/>
          <w:szCs w:val="24"/>
        </w:rPr>
        <w:t>Advertência, quando o CONTRATADO der causa à inexecução parcial do contrato, sempre que não se justificar a imposição de penalidade mais grave (Art. 156, §2º, da Lei n.º 14.133/2021);</w:t>
      </w:r>
    </w:p>
    <w:p w14:paraId="1CE8487A" w14:textId="77777777" w:rsidR="00475945" w:rsidRPr="00864C1D" w:rsidRDefault="00475945" w:rsidP="00475945">
      <w:pPr>
        <w:numPr>
          <w:ilvl w:val="0"/>
          <w:numId w:val="23"/>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bCs/>
          <w:color w:val="000000"/>
          <w:sz w:val="24"/>
          <w:szCs w:val="24"/>
        </w:rPr>
        <w:t>Impedimento de licitar e contratar, quando praticadas as condutas descritas nas alíneas “b”, “c” e “d” do subitem acima deste contrato, sempre que não se justificar a imposição de penalidade mais grave (Art. 156, § 4º, da Lei n.º 14.133/2021);</w:t>
      </w:r>
    </w:p>
    <w:p w14:paraId="16312EF7" w14:textId="77777777" w:rsidR="00475945" w:rsidRPr="00864C1D" w:rsidRDefault="00475945" w:rsidP="00475945">
      <w:pPr>
        <w:numPr>
          <w:ilvl w:val="0"/>
          <w:numId w:val="23"/>
        </w:numPr>
        <w:pBdr>
          <w:top w:val="nil"/>
          <w:left w:val="nil"/>
          <w:bottom w:val="nil"/>
          <w:right w:val="nil"/>
          <w:between w:val="nil"/>
        </w:pBdr>
        <w:spacing w:after="120" w:line="240" w:lineRule="auto"/>
        <w:ind w:left="0" w:firstLine="0"/>
        <w:jc w:val="both"/>
        <w:rPr>
          <w:rFonts w:ascii="Bookman Old Style" w:eastAsia="Arial" w:hAnsi="Bookman Old Style" w:cs="Arial"/>
          <w:bCs/>
          <w:color w:val="000000"/>
          <w:sz w:val="24"/>
          <w:szCs w:val="24"/>
        </w:rPr>
      </w:pPr>
      <w:r w:rsidRPr="00864C1D">
        <w:rPr>
          <w:rFonts w:ascii="Bookman Old Style" w:eastAsia="Arial" w:hAnsi="Bookman Old Style" w:cs="Arial"/>
          <w:bCs/>
          <w:color w:val="000000"/>
          <w:sz w:val="24"/>
          <w:szCs w:val="24"/>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77E36782" w14:textId="77777777" w:rsidR="00475945" w:rsidRPr="00864C1D" w:rsidRDefault="00475945" w:rsidP="00475945">
      <w:pPr>
        <w:numPr>
          <w:ilvl w:val="0"/>
          <w:numId w:val="23"/>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bCs/>
          <w:color w:val="000000"/>
          <w:sz w:val="24"/>
          <w:szCs w:val="24"/>
        </w:rPr>
        <w:t>Multa:</w:t>
      </w:r>
    </w:p>
    <w:p w14:paraId="6A06E5C1" w14:textId="77777777" w:rsidR="00475945" w:rsidRPr="00864C1D" w:rsidRDefault="00475945" w:rsidP="00475945">
      <w:pPr>
        <w:numPr>
          <w:ilvl w:val="1"/>
          <w:numId w:val="13"/>
        </w:numPr>
        <w:pBdr>
          <w:top w:val="nil"/>
          <w:left w:val="nil"/>
          <w:bottom w:val="nil"/>
          <w:right w:val="nil"/>
          <w:between w:val="nil"/>
        </w:pBdr>
        <w:tabs>
          <w:tab w:val="left" w:pos="426"/>
        </w:tabs>
        <w:spacing w:after="120" w:line="240" w:lineRule="auto"/>
        <w:ind w:left="0" w:firstLine="142"/>
        <w:jc w:val="both"/>
        <w:rPr>
          <w:rFonts w:ascii="Bookman Old Style" w:eastAsia="Arial" w:hAnsi="Bookman Old Style" w:cs="Arial"/>
          <w:sz w:val="24"/>
          <w:szCs w:val="24"/>
        </w:rPr>
      </w:pPr>
      <w:r w:rsidRPr="00864C1D">
        <w:rPr>
          <w:rFonts w:ascii="Bookman Old Style" w:hAnsi="Bookman Old Style"/>
          <w:sz w:val="24"/>
          <w:szCs w:val="24"/>
        </w:rPr>
        <w:t xml:space="preserve">     </w:t>
      </w:r>
      <w:r w:rsidRPr="00864C1D">
        <w:rPr>
          <w:rFonts w:ascii="Bookman Old Style" w:eastAsia="Arial" w:hAnsi="Bookman Old Style" w:cs="Arial"/>
          <w:sz w:val="24"/>
          <w:szCs w:val="24"/>
        </w:rPr>
        <w:t>Moratória de 1% (um por cento) por dia de atraso injustificado sobre o valor da parcela inadimplida, até o limite de 30 (trinta) dias;</w:t>
      </w:r>
    </w:p>
    <w:p w14:paraId="25A8FCF3" w14:textId="77777777" w:rsidR="00475945" w:rsidRPr="00864C1D" w:rsidRDefault="00475945" w:rsidP="00475945">
      <w:pPr>
        <w:numPr>
          <w:ilvl w:val="1"/>
          <w:numId w:val="13"/>
        </w:numPr>
        <w:pBdr>
          <w:top w:val="nil"/>
          <w:left w:val="nil"/>
          <w:bottom w:val="nil"/>
          <w:right w:val="nil"/>
          <w:between w:val="nil"/>
        </w:pBdr>
        <w:tabs>
          <w:tab w:val="left" w:pos="426"/>
        </w:tabs>
        <w:spacing w:after="120" w:line="240" w:lineRule="auto"/>
        <w:ind w:left="0" w:firstLine="142"/>
        <w:jc w:val="both"/>
        <w:rPr>
          <w:rFonts w:ascii="Bookman Old Style" w:eastAsia="Arial" w:hAnsi="Bookman Old Style" w:cs="Arial"/>
          <w:i/>
          <w:sz w:val="24"/>
          <w:szCs w:val="24"/>
        </w:rPr>
      </w:pPr>
      <w:r w:rsidRPr="00864C1D">
        <w:rPr>
          <w:rFonts w:ascii="Bookman Old Style" w:eastAsia="Arial" w:hAnsi="Bookman Old Style" w:cs="Arial"/>
          <w:i/>
          <w:sz w:val="24"/>
          <w:szCs w:val="24"/>
        </w:rPr>
        <w:t xml:space="preserve">O atraso superior a 30 dias autoriza a Administração a promover a extinção do contrato por descumprimento ou cumprimento irregular de suas cláusulas, conforme dispõe o inciso I do art. 137 da Lei n.º 14.133/2021. </w:t>
      </w:r>
    </w:p>
    <w:p w14:paraId="5EFCB5F7" w14:textId="77777777" w:rsidR="00475945" w:rsidRPr="00864C1D" w:rsidRDefault="00475945" w:rsidP="00475945">
      <w:pPr>
        <w:numPr>
          <w:ilvl w:val="1"/>
          <w:numId w:val="13"/>
        </w:numPr>
        <w:pBdr>
          <w:top w:val="nil"/>
          <w:left w:val="nil"/>
          <w:bottom w:val="nil"/>
          <w:right w:val="nil"/>
          <w:between w:val="nil"/>
        </w:pBdr>
        <w:tabs>
          <w:tab w:val="left" w:pos="426"/>
        </w:tabs>
        <w:spacing w:after="120" w:line="240" w:lineRule="auto"/>
        <w:ind w:left="0" w:firstLine="142"/>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Compensatória de </w:t>
      </w:r>
      <w:r w:rsidRPr="00864C1D">
        <w:rPr>
          <w:rFonts w:ascii="Bookman Old Style" w:eastAsia="Arial" w:hAnsi="Bookman Old Style" w:cs="Arial"/>
          <w:sz w:val="24"/>
          <w:szCs w:val="24"/>
        </w:rPr>
        <w:t xml:space="preserve">20% (vinte </w:t>
      </w:r>
      <w:r w:rsidRPr="00864C1D">
        <w:rPr>
          <w:rFonts w:ascii="Bookman Old Style" w:eastAsia="Arial" w:hAnsi="Bookman Old Style" w:cs="Arial"/>
          <w:color w:val="000000"/>
          <w:sz w:val="24"/>
          <w:szCs w:val="24"/>
        </w:rPr>
        <w:t>por cento) sobre o valor total do contrato, no caso de inexecução total do objeto.</w:t>
      </w:r>
    </w:p>
    <w:p w14:paraId="1FDDADB5"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 aplicação das sanções previstas neste termo não exclui, em hipótese alguma, a obrigação de reparação integral do dano causado ao </w:t>
      </w:r>
      <w:r w:rsidRPr="00864C1D">
        <w:rPr>
          <w:rFonts w:ascii="Bookman Old Style" w:eastAsia="Arial" w:hAnsi="Bookman Old Style" w:cs="Arial"/>
          <w:bCs/>
          <w:color w:val="000000"/>
          <w:sz w:val="24"/>
          <w:szCs w:val="24"/>
        </w:rPr>
        <w:t>CONTRATANTE</w:t>
      </w:r>
      <w:r w:rsidRPr="00864C1D">
        <w:rPr>
          <w:rFonts w:ascii="Bookman Old Style" w:eastAsia="Arial" w:hAnsi="Bookman Old Style" w:cs="Arial"/>
          <w:color w:val="000000"/>
          <w:sz w:val="24"/>
          <w:szCs w:val="24"/>
        </w:rPr>
        <w:t xml:space="preserve"> (Art. 156, §9º, da Lei n.º 14.133/2021);</w:t>
      </w:r>
    </w:p>
    <w:p w14:paraId="165DBE97"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Todas as sanções previstas neste termo poderão ser aplicadas cumulativamente com a multa (Art. 156, §7º, da Lei n.º 14.133/2021);</w:t>
      </w:r>
    </w:p>
    <w:p w14:paraId="2565656C" w14:textId="77777777" w:rsidR="00475945" w:rsidRPr="00864C1D" w:rsidRDefault="00475945" w:rsidP="00475945">
      <w:pPr>
        <w:numPr>
          <w:ilvl w:val="2"/>
          <w:numId w:val="21"/>
        </w:numPr>
        <w:pBdr>
          <w:top w:val="nil"/>
          <w:left w:val="nil"/>
          <w:bottom w:val="nil"/>
          <w:right w:val="nil"/>
          <w:between w:val="nil"/>
        </w:pBdr>
        <w:tabs>
          <w:tab w:val="left" w:pos="1134"/>
        </w:tabs>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Antes da aplicação da multa será facultada a defesa do interessado no prazo de 15 (quinze) dias úteis, contado da data de sua intimação (Art. 157, da Lei n.º 14.133/2021);</w:t>
      </w:r>
    </w:p>
    <w:p w14:paraId="3DF0AD69" w14:textId="77777777" w:rsidR="00475945" w:rsidRPr="00864C1D" w:rsidRDefault="00475945" w:rsidP="00475945">
      <w:pPr>
        <w:numPr>
          <w:ilvl w:val="2"/>
          <w:numId w:val="21"/>
        </w:numPr>
        <w:pBdr>
          <w:top w:val="nil"/>
          <w:left w:val="nil"/>
          <w:bottom w:val="nil"/>
          <w:right w:val="nil"/>
          <w:between w:val="nil"/>
        </w:pBdr>
        <w:tabs>
          <w:tab w:val="left" w:pos="1134"/>
        </w:tabs>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Se a multa aplicada e as indenizações cabíveis forem superiores ao valor do pagamento eventualmente devido pelo </w:t>
      </w:r>
      <w:r w:rsidRPr="00864C1D">
        <w:rPr>
          <w:rFonts w:ascii="Bookman Old Style" w:eastAsia="Arial" w:hAnsi="Bookman Old Style" w:cs="Arial"/>
          <w:bCs/>
          <w:color w:val="000000"/>
          <w:sz w:val="24"/>
          <w:szCs w:val="24"/>
        </w:rPr>
        <w:t>CONTRATANTE ao CONTRATADO</w:t>
      </w:r>
      <w:r w:rsidRPr="00864C1D">
        <w:rPr>
          <w:rFonts w:ascii="Bookman Old Style" w:eastAsia="Arial" w:hAnsi="Bookman Old Style" w:cs="Arial"/>
          <w:color w:val="000000"/>
          <w:sz w:val="24"/>
          <w:szCs w:val="24"/>
        </w:rPr>
        <w:t>, além da perda desse valor, a diferença será descontada da garantia prestada ou será cobrada judicialmente (Art. 156, §8º, da Lei n.º 14.133/2021);</w:t>
      </w:r>
    </w:p>
    <w:p w14:paraId="5539726E" w14:textId="77777777" w:rsidR="00475945" w:rsidRPr="00864C1D" w:rsidRDefault="00475945" w:rsidP="00475945">
      <w:pPr>
        <w:numPr>
          <w:ilvl w:val="2"/>
          <w:numId w:val="21"/>
        </w:numPr>
        <w:pBdr>
          <w:top w:val="nil"/>
          <w:left w:val="nil"/>
          <w:bottom w:val="nil"/>
          <w:right w:val="nil"/>
          <w:between w:val="nil"/>
        </w:pBdr>
        <w:tabs>
          <w:tab w:val="left" w:pos="1134"/>
        </w:tabs>
        <w:spacing w:after="120" w:line="240" w:lineRule="auto"/>
        <w:ind w:left="0" w:firstLine="0"/>
        <w:jc w:val="both"/>
        <w:rPr>
          <w:rFonts w:ascii="Bookman Old Style" w:eastAsia="Arial" w:hAnsi="Bookman Old Style" w:cs="Arial"/>
          <w:color w:val="000000"/>
          <w:sz w:val="24"/>
          <w:szCs w:val="24"/>
        </w:rPr>
      </w:pPr>
      <w:bookmarkStart w:id="5" w:name="_heading=h.tyjcwt" w:colFirst="0" w:colLast="0"/>
      <w:bookmarkEnd w:id="5"/>
      <w:r w:rsidRPr="00864C1D">
        <w:rPr>
          <w:rFonts w:ascii="Bookman Old Style" w:eastAsia="Arial" w:hAnsi="Bookman Old Style" w:cs="Arial"/>
          <w:color w:val="000000"/>
          <w:sz w:val="24"/>
          <w:szCs w:val="24"/>
        </w:rPr>
        <w:t xml:space="preserve">Previamente ao encaminhamento à cobrança judicial, a multa poderá ser recolhida administrativamente no prazo máximo de </w:t>
      </w:r>
      <w:r w:rsidRPr="00864C1D">
        <w:rPr>
          <w:rFonts w:ascii="Bookman Old Style" w:eastAsia="Arial" w:hAnsi="Bookman Old Style" w:cs="Arial"/>
          <w:sz w:val="24"/>
          <w:szCs w:val="24"/>
        </w:rPr>
        <w:t>30 (trinta)</w:t>
      </w:r>
      <w:r w:rsidRPr="00864C1D">
        <w:rPr>
          <w:rFonts w:ascii="Bookman Old Style" w:eastAsia="Arial" w:hAnsi="Bookman Old Style" w:cs="Arial"/>
          <w:color w:val="000000"/>
          <w:sz w:val="24"/>
          <w:szCs w:val="24"/>
        </w:rPr>
        <w:t xml:space="preserve"> dias, a contar da data do recebimento da comunicação enviada pela autoridade competente.</w:t>
      </w:r>
    </w:p>
    <w:p w14:paraId="17E7C546"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 aplicação das sanções realizar-se-á em processo administrativo que assegure o contraditório e a ampla defesa ao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observando-se o procedimento previsto no caput e parágrafos do art. 158 da Lei n.º 14.133/2021, para as penalidades de impedimento de licitar e contratar e de declaração de inidoneidade para licitar ou contratar;</w:t>
      </w:r>
    </w:p>
    <w:p w14:paraId="3187C3B4"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Na aplicação das sanções serão considerados (Art. 156, §1º, da Lei n.º 14.133/2021):</w:t>
      </w:r>
    </w:p>
    <w:p w14:paraId="406BAFD9" w14:textId="77777777" w:rsidR="00475945" w:rsidRPr="00864C1D" w:rsidRDefault="00475945" w:rsidP="00475945">
      <w:pPr>
        <w:numPr>
          <w:ilvl w:val="2"/>
          <w:numId w:val="14"/>
        </w:numPr>
        <w:tabs>
          <w:tab w:val="left" w:pos="567"/>
        </w:tabs>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A natureza e a gravidade da infração cometida;</w:t>
      </w:r>
    </w:p>
    <w:p w14:paraId="7E460167" w14:textId="77777777" w:rsidR="00475945" w:rsidRPr="00864C1D" w:rsidRDefault="00475945" w:rsidP="00475945">
      <w:pPr>
        <w:numPr>
          <w:ilvl w:val="2"/>
          <w:numId w:val="14"/>
        </w:numPr>
        <w:tabs>
          <w:tab w:val="left" w:pos="567"/>
        </w:tabs>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As peculiaridades do caso concreto;</w:t>
      </w:r>
    </w:p>
    <w:p w14:paraId="5EB0C9FF" w14:textId="77777777" w:rsidR="00475945" w:rsidRPr="00864C1D" w:rsidRDefault="00475945" w:rsidP="00475945">
      <w:pPr>
        <w:numPr>
          <w:ilvl w:val="2"/>
          <w:numId w:val="14"/>
        </w:numPr>
        <w:tabs>
          <w:tab w:val="left" w:pos="567"/>
        </w:tabs>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As circunstâncias agravantes ou atenuantes;</w:t>
      </w:r>
    </w:p>
    <w:p w14:paraId="3F4225F6" w14:textId="77777777" w:rsidR="00475945" w:rsidRPr="00864C1D" w:rsidRDefault="00475945" w:rsidP="00475945">
      <w:pPr>
        <w:numPr>
          <w:ilvl w:val="2"/>
          <w:numId w:val="14"/>
        </w:numPr>
        <w:tabs>
          <w:tab w:val="left" w:pos="567"/>
        </w:tabs>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 xml:space="preserve">Os danos que dela provierem para o </w:t>
      </w:r>
      <w:r w:rsidRPr="00864C1D">
        <w:rPr>
          <w:rFonts w:ascii="Bookman Old Style" w:eastAsia="Arial" w:hAnsi="Bookman Old Style" w:cs="Arial"/>
          <w:bCs/>
          <w:sz w:val="24"/>
          <w:szCs w:val="24"/>
        </w:rPr>
        <w:t>CONTRATANTE;</w:t>
      </w:r>
    </w:p>
    <w:p w14:paraId="67B71E8A" w14:textId="77777777" w:rsidR="00475945" w:rsidRPr="00864C1D" w:rsidRDefault="00475945" w:rsidP="00475945">
      <w:pPr>
        <w:numPr>
          <w:ilvl w:val="2"/>
          <w:numId w:val="14"/>
        </w:numPr>
        <w:tabs>
          <w:tab w:val="left" w:pos="567"/>
        </w:tabs>
        <w:spacing w:after="120" w:line="240" w:lineRule="auto"/>
        <w:ind w:left="0" w:firstLine="0"/>
        <w:jc w:val="both"/>
        <w:rPr>
          <w:rFonts w:ascii="Bookman Old Style" w:eastAsia="Arial" w:hAnsi="Bookman Old Style" w:cs="Arial"/>
          <w:sz w:val="24"/>
          <w:szCs w:val="24"/>
        </w:rPr>
      </w:pPr>
      <w:r w:rsidRPr="00864C1D">
        <w:rPr>
          <w:rFonts w:ascii="Bookman Old Style" w:eastAsia="Arial" w:hAnsi="Bookman Old Style" w:cs="Arial"/>
          <w:sz w:val="24"/>
          <w:szCs w:val="24"/>
        </w:rPr>
        <w:t>A implantação ou o aperfeiçoamento de programa de integridade, conforme normas e orientações dos órgãos de controle.</w:t>
      </w:r>
    </w:p>
    <w:p w14:paraId="771B7B9B"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Os atos previstos como infrações administrativas na Lei n.º 14.133/2021,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 da Lei n.º 14.133/2021);</w:t>
      </w:r>
    </w:p>
    <w:p w14:paraId="7461E397"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A personalidade jurídica do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observados, em todos os casos, o contraditório, a ampla defesa e a obrigatoriedade de análise jurídica prévia (Art. 160 da Lei n.º 14.133/2021);</w:t>
      </w:r>
    </w:p>
    <w:p w14:paraId="6A65027A"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 O </w:t>
      </w:r>
      <w:r w:rsidRPr="00864C1D">
        <w:rPr>
          <w:rFonts w:ascii="Bookman Old Style" w:eastAsia="Arial" w:hAnsi="Bookman Old Style" w:cs="Arial"/>
          <w:bCs/>
          <w:color w:val="000000"/>
          <w:sz w:val="24"/>
          <w:szCs w:val="24"/>
        </w:rPr>
        <w:t>CONTRATANTE</w:t>
      </w:r>
      <w:r w:rsidRPr="00864C1D">
        <w:rPr>
          <w:rFonts w:ascii="Bookman Old Style" w:eastAsia="Arial" w:hAnsi="Bookman Old Style" w:cs="Arial"/>
          <w:color w:val="000000"/>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14.133/2021);</w:t>
      </w:r>
    </w:p>
    <w:p w14:paraId="401CEE71" w14:textId="77777777" w:rsidR="00475945" w:rsidRPr="00864C1D" w:rsidRDefault="00475945" w:rsidP="00475945">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As sanções de impedimento de licitar e contratar e declaração de inidoneidade para licitar ou contratar são passíveis de reabilitação na forma do art. 163 da Lei n.º 14.133/2021;</w:t>
      </w:r>
    </w:p>
    <w:p w14:paraId="1E6FC5D2" w14:textId="4D3EB7EF" w:rsidR="00C54FD7" w:rsidRPr="005E30B1" w:rsidRDefault="00475945" w:rsidP="005E30B1">
      <w:pPr>
        <w:numPr>
          <w:ilvl w:val="1"/>
          <w:numId w:val="21"/>
        </w:numPr>
        <w:pBdr>
          <w:top w:val="nil"/>
          <w:left w:val="nil"/>
          <w:bottom w:val="nil"/>
          <w:right w:val="nil"/>
          <w:between w:val="nil"/>
        </w:pBdr>
        <w:spacing w:after="120" w:line="240" w:lineRule="auto"/>
        <w:ind w:left="0" w:firstLine="0"/>
        <w:jc w:val="both"/>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Os débitos do </w:t>
      </w:r>
      <w:r w:rsidRPr="00864C1D">
        <w:rPr>
          <w:rFonts w:ascii="Bookman Old Style" w:eastAsia="Arial" w:hAnsi="Bookman Old Style" w:cs="Arial"/>
          <w:bCs/>
          <w:color w:val="000000"/>
          <w:sz w:val="24"/>
          <w:szCs w:val="24"/>
        </w:rPr>
        <w:t>CONTRATADO</w:t>
      </w:r>
      <w:r w:rsidRPr="00864C1D">
        <w:rPr>
          <w:rFonts w:ascii="Bookman Old Style" w:eastAsia="Arial" w:hAnsi="Bookman Old Style" w:cs="Arial"/>
          <w:color w:val="000000"/>
          <w:sz w:val="24"/>
          <w:szCs w:val="24"/>
        </w:rPr>
        <w:t xml:space="preserve"> para com a Administração </w:t>
      </w:r>
      <w:r w:rsidRPr="00864C1D">
        <w:rPr>
          <w:rFonts w:ascii="Bookman Old Style" w:eastAsia="Arial" w:hAnsi="Bookman Old Style" w:cs="Arial"/>
          <w:bCs/>
          <w:color w:val="000000"/>
          <w:sz w:val="24"/>
          <w:szCs w:val="24"/>
        </w:rPr>
        <w:t>CONTRATANTE</w:t>
      </w:r>
      <w:r w:rsidRPr="00864C1D">
        <w:rPr>
          <w:rFonts w:ascii="Bookman Old Style" w:eastAsia="Arial" w:hAnsi="Bookman Old Style" w:cs="Arial"/>
          <w:color w:val="000000"/>
          <w:sz w:val="24"/>
          <w:szCs w:val="24"/>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Pr="00864C1D">
        <w:rPr>
          <w:rFonts w:ascii="Bookman Old Style" w:eastAsia="Arial" w:hAnsi="Bookman Old Style" w:cs="Arial"/>
          <w:bCs/>
          <w:color w:val="000000"/>
          <w:sz w:val="24"/>
          <w:szCs w:val="24"/>
        </w:rPr>
        <w:t>CONTRATADO possua com o mesmo órgão ora CONTRATANTE</w:t>
      </w:r>
      <w:r w:rsidRPr="00864C1D">
        <w:rPr>
          <w:rFonts w:ascii="Bookman Old Style" w:eastAsia="Arial" w:hAnsi="Bookman Old Style" w:cs="Arial"/>
          <w:color w:val="000000"/>
          <w:sz w:val="24"/>
          <w:szCs w:val="24"/>
        </w:rPr>
        <w:t>.</w:t>
      </w:r>
    </w:p>
    <w:p w14:paraId="294501E1" w14:textId="41F9ABBD" w:rsidR="00475945" w:rsidRPr="00864C1D" w:rsidRDefault="00475945" w:rsidP="00475945">
      <w:pPr>
        <w:pBdr>
          <w:top w:val="nil"/>
          <w:left w:val="nil"/>
          <w:bottom w:val="nil"/>
          <w:right w:val="nil"/>
          <w:between w:val="nil"/>
        </w:pBdr>
        <w:spacing w:after="120" w:line="240" w:lineRule="auto"/>
        <w:jc w:val="right"/>
        <w:rPr>
          <w:rFonts w:ascii="Bookman Old Style" w:eastAsia="Arial" w:hAnsi="Bookman Old Style" w:cs="Arial"/>
          <w:color w:val="000000"/>
          <w:sz w:val="24"/>
          <w:szCs w:val="24"/>
        </w:rPr>
      </w:pPr>
      <w:r w:rsidRPr="00864C1D">
        <w:rPr>
          <w:rFonts w:ascii="Bookman Old Style" w:eastAsia="Arial" w:hAnsi="Bookman Old Style" w:cs="Arial"/>
          <w:color w:val="000000"/>
          <w:sz w:val="24"/>
          <w:szCs w:val="24"/>
        </w:rPr>
        <w:t xml:space="preserve">Cordilheira Alta, </w:t>
      </w:r>
      <w:r w:rsidR="00F26AC8">
        <w:rPr>
          <w:rFonts w:ascii="Bookman Old Style" w:eastAsia="Arial" w:hAnsi="Bookman Old Style" w:cs="Arial"/>
          <w:color w:val="000000"/>
          <w:sz w:val="24"/>
          <w:szCs w:val="24"/>
        </w:rPr>
        <w:t>28</w:t>
      </w:r>
      <w:r w:rsidRPr="00864C1D">
        <w:rPr>
          <w:rFonts w:ascii="Bookman Old Style" w:eastAsia="Arial" w:hAnsi="Bookman Old Style" w:cs="Arial"/>
          <w:color w:val="000000"/>
          <w:sz w:val="24"/>
          <w:szCs w:val="24"/>
        </w:rPr>
        <w:t xml:space="preserve"> de ju</w:t>
      </w:r>
      <w:r w:rsidR="00F26AC8">
        <w:rPr>
          <w:rFonts w:ascii="Bookman Old Style" w:eastAsia="Arial" w:hAnsi="Bookman Old Style" w:cs="Arial"/>
          <w:color w:val="000000"/>
          <w:sz w:val="24"/>
          <w:szCs w:val="24"/>
        </w:rPr>
        <w:t>n</w:t>
      </w:r>
      <w:r w:rsidRPr="00864C1D">
        <w:rPr>
          <w:rFonts w:ascii="Bookman Old Style" w:eastAsia="Arial" w:hAnsi="Bookman Old Style" w:cs="Arial"/>
          <w:color w:val="000000"/>
          <w:sz w:val="24"/>
          <w:szCs w:val="24"/>
        </w:rPr>
        <w:t>ho de 2024</w:t>
      </w:r>
      <w:r w:rsidR="006156C3">
        <w:rPr>
          <w:rFonts w:ascii="Bookman Old Style" w:eastAsia="Arial" w:hAnsi="Bookman Old Style" w:cs="Arial"/>
          <w:color w:val="000000"/>
          <w:sz w:val="24"/>
          <w:szCs w:val="24"/>
        </w:rPr>
        <w:t>.</w:t>
      </w:r>
    </w:p>
    <w:p w14:paraId="3A2DFF1B" w14:textId="40BD02C8" w:rsidR="004A4483" w:rsidRDefault="004A4483"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2E208D05" w14:textId="77777777" w:rsidR="00DD1BC2" w:rsidRPr="00864C1D" w:rsidRDefault="00DD1BC2" w:rsidP="00475945">
      <w:pPr>
        <w:pBdr>
          <w:top w:val="nil"/>
          <w:left w:val="nil"/>
          <w:bottom w:val="nil"/>
          <w:right w:val="nil"/>
          <w:between w:val="nil"/>
        </w:pBdr>
        <w:spacing w:after="120" w:line="240" w:lineRule="auto"/>
        <w:jc w:val="both"/>
        <w:rPr>
          <w:rFonts w:ascii="Bookman Old Style" w:eastAsia="Arial" w:hAnsi="Bookman Old Style" w:cs="Arial"/>
          <w:color w:val="000000"/>
          <w:sz w:val="24"/>
          <w:szCs w:val="24"/>
        </w:rPr>
      </w:pPr>
    </w:p>
    <w:p w14:paraId="3E99FDF0" w14:textId="77777777" w:rsidR="00475945" w:rsidRPr="006156C3" w:rsidRDefault="00475945" w:rsidP="00475945">
      <w:pPr>
        <w:spacing w:after="0" w:line="240" w:lineRule="auto"/>
        <w:jc w:val="center"/>
        <w:rPr>
          <w:rFonts w:ascii="Bookman Old Style" w:hAnsi="Bookman Old Style"/>
          <w:sz w:val="24"/>
          <w:szCs w:val="24"/>
        </w:rPr>
      </w:pPr>
      <w:r w:rsidRPr="006156C3">
        <w:rPr>
          <w:rFonts w:ascii="Bookman Old Style" w:eastAsia="Arial" w:hAnsi="Bookman Old Style" w:cs="Arial"/>
          <w:sz w:val="24"/>
          <w:szCs w:val="24"/>
        </w:rPr>
        <w:t xml:space="preserve">     </w:t>
      </w:r>
      <w:r w:rsidRPr="006156C3">
        <w:rPr>
          <w:rFonts w:ascii="Bookman Old Style" w:hAnsi="Bookman Old Style"/>
          <w:sz w:val="24"/>
          <w:szCs w:val="24"/>
        </w:rPr>
        <w:t>___________________________________________________</w:t>
      </w:r>
    </w:p>
    <w:p w14:paraId="34AFB515" w14:textId="77777777" w:rsidR="00475945" w:rsidRPr="006156C3" w:rsidRDefault="00475945" w:rsidP="00475945">
      <w:pPr>
        <w:spacing w:after="0" w:line="240" w:lineRule="auto"/>
        <w:jc w:val="center"/>
        <w:rPr>
          <w:rFonts w:ascii="Bookman Old Style" w:hAnsi="Bookman Old Style" w:cs="Helvetica"/>
          <w:sz w:val="24"/>
          <w:szCs w:val="24"/>
        </w:rPr>
      </w:pPr>
      <w:r w:rsidRPr="006156C3">
        <w:rPr>
          <w:rFonts w:ascii="Bookman Old Style" w:hAnsi="Bookman Old Style" w:cs="Helvetica"/>
          <w:sz w:val="24"/>
          <w:szCs w:val="24"/>
        </w:rPr>
        <w:t>Rudimar Marafon</w:t>
      </w:r>
    </w:p>
    <w:p w14:paraId="53C2B8C0" w14:textId="26876917" w:rsidR="00475945" w:rsidRPr="006156C3" w:rsidRDefault="00475945" w:rsidP="00475945">
      <w:pPr>
        <w:spacing w:after="0" w:line="240" w:lineRule="auto"/>
        <w:jc w:val="center"/>
        <w:rPr>
          <w:rFonts w:ascii="Bookman Old Style" w:hAnsi="Bookman Old Style"/>
          <w:sz w:val="24"/>
          <w:szCs w:val="24"/>
        </w:rPr>
      </w:pPr>
      <w:r w:rsidRPr="006156C3">
        <w:rPr>
          <w:rFonts w:ascii="Bookman Old Style" w:hAnsi="Bookman Old Style"/>
          <w:sz w:val="24"/>
          <w:szCs w:val="24"/>
        </w:rPr>
        <w:t xml:space="preserve">Secretário </w:t>
      </w:r>
      <w:r w:rsidR="006156C3">
        <w:rPr>
          <w:rFonts w:ascii="Bookman Old Style" w:hAnsi="Bookman Old Style"/>
          <w:sz w:val="24"/>
          <w:szCs w:val="24"/>
        </w:rPr>
        <w:t xml:space="preserve">Municipal </w:t>
      </w:r>
      <w:r w:rsidRPr="006156C3">
        <w:rPr>
          <w:rFonts w:ascii="Bookman Old Style" w:hAnsi="Bookman Old Style"/>
          <w:sz w:val="24"/>
          <w:szCs w:val="24"/>
        </w:rPr>
        <w:t>de Administração, Fazenda e Planejamento</w:t>
      </w:r>
    </w:p>
    <w:p w14:paraId="7509A85A" w14:textId="11A092FE" w:rsidR="00475945" w:rsidRPr="006156C3" w:rsidRDefault="00475945" w:rsidP="005E30B1">
      <w:pPr>
        <w:spacing w:after="120" w:line="240" w:lineRule="auto"/>
        <w:rPr>
          <w:rFonts w:ascii="Bookman Old Style" w:eastAsia="Arial" w:hAnsi="Bookman Old Style" w:cs="Arial"/>
          <w:sz w:val="24"/>
          <w:szCs w:val="24"/>
        </w:rPr>
      </w:pPr>
    </w:p>
    <w:p w14:paraId="5833C821" w14:textId="58028156" w:rsidR="004A4483" w:rsidRPr="006156C3" w:rsidRDefault="004A4483" w:rsidP="00475945">
      <w:pPr>
        <w:spacing w:after="120" w:line="240" w:lineRule="auto"/>
        <w:jc w:val="center"/>
        <w:rPr>
          <w:rFonts w:ascii="Bookman Old Style" w:eastAsia="Arial" w:hAnsi="Bookman Old Style" w:cs="Arial"/>
          <w:sz w:val="24"/>
          <w:szCs w:val="24"/>
        </w:rPr>
      </w:pPr>
    </w:p>
    <w:p w14:paraId="7A244CD9" w14:textId="77777777" w:rsidR="005E30B1" w:rsidRPr="006156C3" w:rsidRDefault="005E30B1" w:rsidP="005E30B1">
      <w:pPr>
        <w:spacing w:after="0" w:line="240" w:lineRule="auto"/>
        <w:jc w:val="center"/>
        <w:rPr>
          <w:rFonts w:ascii="Bookman Old Style" w:hAnsi="Bookman Old Style"/>
          <w:sz w:val="24"/>
          <w:szCs w:val="24"/>
        </w:rPr>
      </w:pPr>
      <w:r w:rsidRPr="006156C3">
        <w:rPr>
          <w:rFonts w:ascii="Bookman Old Style" w:hAnsi="Bookman Old Style"/>
          <w:sz w:val="24"/>
          <w:szCs w:val="24"/>
        </w:rPr>
        <w:t>___________________________________________________</w:t>
      </w:r>
    </w:p>
    <w:p w14:paraId="5DA50875" w14:textId="77777777" w:rsidR="005E30B1" w:rsidRPr="006156C3" w:rsidRDefault="005E30B1" w:rsidP="005E30B1">
      <w:pPr>
        <w:spacing w:after="0" w:line="240" w:lineRule="auto"/>
        <w:ind w:left="360"/>
        <w:jc w:val="center"/>
        <w:rPr>
          <w:rFonts w:ascii="Bookman Old Style" w:eastAsia="Arial" w:hAnsi="Bookman Old Style" w:cs="Arial"/>
          <w:sz w:val="24"/>
          <w:szCs w:val="24"/>
        </w:rPr>
      </w:pPr>
      <w:r w:rsidRPr="006156C3">
        <w:rPr>
          <w:rFonts w:ascii="Bookman Old Style" w:eastAsia="Arial" w:hAnsi="Bookman Old Style" w:cs="Arial"/>
          <w:sz w:val="24"/>
          <w:szCs w:val="24"/>
        </w:rPr>
        <w:t xml:space="preserve">Ana Paula </w:t>
      </w:r>
      <w:proofErr w:type="spellStart"/>
      <w:r w:rsidRPr="006156C3">
        <w:rPr>
          <w:rFonts w:ascii="Bookman Old Style" w:eastAsia="Arial" w:hAnsi="Bookman Old Style" w:cs="Arial"/>
          <w:sz w:val="24"/>
          <w:szCs w:val="24"/>
        </w:rPr>
        <w:t>Biessek</w:t>
      </w:r>
      <w:proofErr w:type="spellEnd"/>
    </w:p>
    <w:p w14:paraId="1F425270" w14:textId="1AAE1F93" w:rsidR="005E30B1" w:rsidRPr="006156C3" w:rsidRDefault="006156C3" w:rsidP="005E30B1">
      <w:pPr>
        <w:spacing w:after="0" w:line="240" w:lineRule="auto"/>
        <w:ind w:left="360"/>
        <w:jc w:val="center"/>
        <w:rPr>
          <w:rFonts w:ascii="Bookman Old Style" w:eastAsia="Arial" w:hAnsi="Bookman Old Style" w:cs="Arial"/>
          <w:sz w:val="24"/>
          <w:szCs w:val="24"/>
        </w:rPr>
      </w:pPr>
      <w:r>
        <w:rPr>
          <w:rFonts w:ascii="Bookman Old Style" w:eastAsia="Arial" w:hAnsi="Bookman Old Style" w:cs="Arial"/>
          <w:sz w:val="24"/>
          <w:szCs w:val="24"/>
        </w:rPr>
        <w:t xml:space="preserve">Agente do </w:t>
      </w:r>
      <w:r w:rsidR="005E30B1" w:rsidRPr="006156C3">
        <w:rPr>
          <w:rFonts w:ascii="Bookman Old Style" w:eastAsia="Arial" w:hAnsi="Bookman Old Style" w:cs="Arial"/>
          <w:sz w:val="24"/>
          <w:szCs w:val="24"/>
        </w:rPr>
        <w:t xml:space="preserve">Fundo </w:t>
      </w:r>
      <w:r>
        <w:rPr>
          <w:rFonts w:ascii="Bookman Old Style" w:eastAsia="Arial" w:hAnsi="Bookman Old Style" w:cs="Arial"/>
          <w:sz w:val="24"/>
          <w:szCs w:val="24"/>
        </w:rPr>
        <w:t>M</w:t>
      </w:r>
      <w:r w:rsidR="005E30B1" w:rsidRPr="006156C3">
        <w:rPr>
          <w:rFonts w:ascii="Bookman Old Style" w:eastAsia="Arial" w:hAnsi="Bookman Old Style" w:cs="Arial"/>
          <w:sz w:val="24"/>
          <w:szCs w:val="24"/>
        </w:rPr>
        <w:t>unicipal de Saúde de Cordilheira Alta</w:t>
      </w:r>
    </w:p>
    <w:p w14:paraId="7328AA90" w14:textId="4E6155AC" w:rsidR="005E30B1" w:rsidRPr="006156C3" w:rsidRDefault="005E30B1" w:rsidP="00475945">
      <w:pPr>
        <w:spacing w:after="120" w:line="240" w:lineRule="auto"/>
        <w:jc w:val="center"/>
        <w:rPr>
          <w:rFonts w:ascii="Bookman Old Style" w:eastAsia="Arial" w:hAnsi="Bookman Old Style" w:cs="Arial"/>
          <w:sz w:val="24"/>
          <w:szCs w:val="24"/>
        </w:rPr>
      </w:pPr>
    </w:p>
    <w:p w14:paraId="0720902A" w14:textId="77777777" w:rsidR="005E30B1" w:rsidRPr="006156C3" w:rsidRDefault="005E30B1" w:rsidP="00475945">
      <w:pPr>
        <w:spacing w:after="120" w:line="240" w:lineRule="auto"/>
        <w:jc w:val="center"/>
        <w:rPr>
          <w:rFonts w:ascii="Bookman Old Style" w:eastAsia="Arial" w:hAnsi="Bookman Old Style" w:cs="Arial"/>
          <w:sz w:val="24"/>
          <w:szCs w:val="24"/>
        </w:rPr>
      </w:pPr>
    </w:p>
    <w:p w14:paraId="0E8C7936" w14:textId="77777777" w:rsidR="00475945" w:rsidRPr="006156C3" w:rsidRDefault="00475945" w:rsidP="00475945">
      <w:pPr>
        <w:spacing w:after="0" w:line="240" w:lineRule="auto"/>
        <w:jc w:val="center"/>
        <w:rPr>
          <w:rFonts w:ascii="Bookman Old Style" w:hAnsi="Bookman Old Style"/>
          <w:sz w:val="24"/>
          <w:szCs w:val="24"/>
        </w:rPr>
      </w:pPr>
      <w:r w:rsidRPr="006156C3">
        <w:rPr>
          <w:rFonts w:ascii="Bookman Old Style" w:hAnsi="Bookman Old Style"/>
          <w:sz w:val="24"/>
          <w:szCs w:val="24"/>
        </w:rPr>
        <w:t>___________________________________________________</w:t>
      </w:r>
    </w:p>
    <w:p w14:paraId="72FB0C62" w14:textId="5617DBF5" w:rsidR="00475945" w:rsidRPr="006156C3" w:rsidRDefault="00C54FD7" w:rsidP="00475945">
      <w:pPr>
        <w:spacing w:after="0" w:line="240" w:lineRule="auto"/>
        <w:jc w:val="center"/>
        <w:rPr>
          <w:rFonts w:ascii="Bookman Old Style" w:hAnsi="Bookman Old Style" w:cs="Helvetica"/>
          <w:sz w:val="24"/>
          <w:szCs w:val="24"/>
        </w:rPr>
      </w:pPr>
      <w:r w:rsidRPr="006156C3">
        <w:rPr>
          <w:rFonts w:ascii="Bookman Old Style" w:hAnsi="Bookman Old Style" w:cs="Helvetica"/>
          <w:sz w:val="24"/>
          <w:szCs w:val="24"/>
        </w:rPr>
        <w:t xml:space="preserve">Emanuele </w:t>
      </w:r>
      <w:proofErr w:type="spellStart"/>
      <w:r w:rsidRPr="006156C3">
        <w:rPr>
          <w:rFonts w:ascii="Bookman Old Style" w:hAnsi="Bookman Old Style" w:cs="Helvetica"/>
          <w:sz w:val="24"/>
          <w:szCs w:val="24"/>
        </w:rPr>
        <w:t>Engelace</w:t>
      </w:r>
      <w:proofErr w:type="spellEnd"/>
    </w:p>
    <w:p w14:paraId="4906D2D3" w14:textId="0730EF2D" w:rsidR="004A4483" w:rsidRPr="006156C3" w:rsidRDefault="006156C3" w:rsidP="00136B4A">
      <w:pPr>
        <w:spacing w:after="0" w:line="240" w:lineRule="auto"/>
        <w:jc w:val="center"/>
        <w:rPr>
          <w:rFonts w:ascii="Bookman Old Style" w:hAnsi="Bookman Old Style"/>
          <w:sz w:val="24"/>
          <w:szCs w:val="24"/>
        </w:rPr>
      </w:pPr>
      <w:r>
        <w:rPr>
          <w:rFonts w:ascii="Bookman Old Style" w:hAnsi="Bookman Old Style" w:cs="Helvetica"/>
          <w:sz w:val="24"/>
          <w:szCs w:val="24"/>
        </w:rPr>
        <w:t xml:space="preserve">Agente da </w:t>
      </w:r>
      <w:r w:rsidR="005E30B1" w:rsidRPr="006156C3">
        <w:rPr>
          <w:rFonts w:ascii="Bookman Old Style" w:hAnsi="Bookman Old Style" w:cs="Helvetica"/>
          <w:sz w:val="24"/>
          <w:szCs w:val="24"/>
        </w:rPr>
        <w:t>C</w:t>
      </w:r>
      <w:r>
        <w:rPr>
          <w:rFonts w:ascii="Bookman Old Style" w:hAnsi="Bookman Old Style" w:cs="Helvetica"/>
          <w:sz w:val="24"/>
          <w:szCs w:val="24"/>
        </w:rPr>
        <w:t>â</w:t>
      </w:r>
      <w:r w:rsidR="005E30B1" w:rsidRPr="006156C3">
        <w:rPr>
          <w:rFonts w:ascii="Bookman Old Style" w:hAnsi="Bookman Old Style" w:cs="Helvetica"/>
          <w:sz w:val="24"/>
          <w:szCs w:val="24"/>
        </w:rPr>
        <w:t>mara Municipal de Cordilheira Alta</w:t>
      </w:r>
    </w:p>
    <w:sectPr w:rsidR="004A4483" w:rsidRPr="006156C3" w:rsidSect="00DD1BC2">
      <w:pgSz w:w="11906" w:h="16838"/>
      <w:pgMar w:top="1417" w:right="99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ova Cond Light">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F5372"/>
    <w:multiLevelType w:val="multilevel"/>
    <w:tmpl w:val="E87ED694"/>
    <w:lvl w:ilvl="0">
      <w:start w:val="6"/>
      <w:numFmt w:val="decimal"/>
      <w:lvlText w:val="%1."/>
      <w:lvlJc w:val="left"/>
      <w:pPr>
        <w:ind w:left="720" w:hanging="360"/>
      </w:pPr>
    </w:lvl>
    <w:lvl w:ilvl="1">
      <w:start w:val="6"/>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 w15:restartNumberingAfterBreak="0">
    <w:nsid w:val="10C462E2"/>
    <w:multiLevelType w:val="multilevel"/>
    <w:tmpl w:val="A05C7CDC"/>
    <w:lvl w:ilvl="0">
      <w:start w:val="1"/>
      <w:numFmt w:val="lowerLetter"/>
      <w:lvlText w:val="%1)"/>
      <w:lvlJc w:val="left"/>
      <w:pPr>
        <w:ind w:left="207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D82FED"/>
    <w:multiLevelType w:val="multilevel"/>
    <w:tmpl w:val="AC6E6C7A"/>
    <w:lvl w:ilvl="0">
      <w:start w:val="2"/>
      <w:numFmt w:val="decimal"/>
      <w:lvlText w:val="%1."/>
      <w:lvlJc w:val="left"/>
      <w:pPr>
        <w:ind w:left="3552" w:hanging="360"/>
      </w:pPr>
    </w:lvl>
    <w:lvl w:ilvl="1">
      <w:start w:val="1"/>
      <w:numFmt w:val="decimal"/>
      <w:lvlText w:val="%1.%2."/>
      <w:lvlJc w:val="left"/>
      <w:pPr>
        <w:ind w:left="4185" w:hanging="359"/>
      </w:pPr>
      <w:rPr>
        <w:color w:val="000000"/>
      </w:rPr>
    </w:lvl>
    <w:lvl w:ilvl="2">
      <w:start w:val="1"/>
      <w:numFmt w:val="decimal"/>
      <w:lvlText w:val="%1.%2.%3."/>
      <w:lvlJc w:val="left"/>
      <w:pPr>
        <w:ind w:left="4632" w:hanging="720"/>
      </w:pPr>
      <w:rPr>
        <w:i w:val="0"/>
        <w:color w:val="000000"/>
      </w:rPr>
    </w:lvl>
    <w:lvl w:ilvl="3">
      <w:start w:val="1"/>
      <w:numFmt w:val="decimal"/>
      <w:lvlText w:val="%1.%2.%3.%4."/>
      <w:lvlJc w:val="left"/>
      <w:pPr>
        <w:ind w:left="4992" w:hanging="720"/>
      </w:pPr>
      <w:rPr>
        <w:i w:val="0"/>
        <w:color w:val="000000"/>
      </w:rPr>
    </w:lvl>
    <w:lvl w:ilvl="4">
      <w:start w:val="1"/>
      <w:numFmt w:val="decimal"/>
      <w:lvlText w:val="%1.%2.%3.%4.%5."/>
      <w:lvlJc w:val="left"/>
      <w:pPr>
        <w:ind w:left="5712" w:hanging="1080"/>
      </w:pPr>
    </w:lvl>
    <w:lvl w:ilvl="5">
      <w:start w:val="1"/>
      <w:numFmt w:val="decimal"/>
      <w:lvlText w:val="%1.%2.%3.%4.%5.%6."/>
      <w:lvlJc w:val="left"/>
      <w:pPr>
        <w:ind w:left="6072" w:hanging="1080"/>
      </w:pPr>
    </w:lvl>
    <w:lvl w:ilvl="6">
      <w:start w:val="1"/>
      <w:numFmt w:val="decimal"/>
      <w:lvlText w:val="%1.%2.%3.%4.%5.%6.%7."/>
      <w:lvlJc w:val="left"/>
      <w:pPr>
        <w:ind w:left="6792" w:hanging="1440"/>
      </w:pPr>
    </w:lvl>
    <w:lvl w:ilvl="7">
      <w:start w:val="1"/>
      <w:numFmt w:val="decimal"/>
      <w:lvlText w:val="%1.%2.%3.%4.%5.%6.%7.%8."/>
      <w:lvlJc w:val="left"/>
      <w:pPr>
        <w:ind w:left="7152" w:hanging="1440"/>
      </w:pPr>
    </w:lvl>
    <w:lvl w:ilvl="8">
      <w:start w:val="1"/>
      <w:numFmt w:val="decimal"/>
      <w:lvlText w:val="%1.%2.%3.%4.%5.%6.%7.%8.%9."/>
      <w:lvlJc w:val="left"/>
      <w:pPr>
        <w:ind w:left="7872" w:hanging="1800"/>
      </w:pPr>
    </w:lvl>
  </w:abstractNum>
  <w:abstractNum w:abstractNumId="3" w15:restartNumberingAfterBreak="0">
    <w:nsid w:val="1DB90ADA"/>
    <w:multiLevelType w:val="multilevel"/>
    <w:tmpl w:val="12F2416E"/>
    <w:lvl w:ilvl="0">
      <w:start w:val="13"/>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1ED51557"/>
    <w:multiLevelType w:val="multilevel"/>
    <w:tmpl w:val="BF409792"/>
    <w:lvl w:ilvl="0">
      <w:start w:val="1"/>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5" w15:restartNumberingAfterBreak="0">
    <w:nsid w:val="1FD85FB4"/>
    <w:multiLevelType w:val="multilevel"/>
    <w:tmpl w:val="6F848A22"/>
    <w:lvl w:ilvl="0">
      <w:start w:val="4"/>
      <w:numFmt w:val="decimal"/>
      <w:lvlText w:val="%1."/>
      <w:lvlJc w:val="left"/>
      <w:pPr>
        <w:ind w:left="825" w:hanging="825"/>
      </w:pPr>
      <w:rPr>
        <w:rFonts w:eastAsia="Calibri" w:cs="Times New Roman" w:hint="default"/>
        <w:color w:val="auto"/>
      </w:rPr>
    </w:lvl>
    <w:lvl w:ilvl="1">
      <w:start w:val="4"/>
      <w:numFmt w:val="decimal"/>
      <w:lvlText w:val="%1.%2."/>
      <w:lvlJc w:val="left"/>
      <w:pPr>
        <w:ind w:left="825" w:hanging="825"/>
      </w:pPr>
      <w:rPr>
        <w:rFonts w:eastAsia="Calibri" w:cs="Times New Roman" w:hint="default"/>
        <w:color w:val="auto"/>
      </w:rPr>
    </w:lvl>
    <w:lvl w:ilvl="2">
      <w:start w:val="17"/>
      <w:numFmt w:val="decimal"/>
      <w:lvlText w:val="%1.%2.%3."/>
      <w:lvlJc w:val="left"/>
      <w:pPr>
        <w:ind w:left="825" w:hanging="825"/>
      </w:pPr>
      <w:rPr>
        <w:rFonts w:eastAsia="Calibri" w:cs="Times New Roman" w:hint="default"/>
        <w:color w:val="auto"/>
      </w:rPr>
    </w:lvl>
    <w:lvl w:ilvl="3">
      <w:start w:val="1"/>
      <w:numFmt w:val="decimal"/>
      <w:lvlText w:val="%1.%2.%3.%4."/>
      <w:lvlJc w:val="left"/>
      <w:pPr>
        <w:ind w:left="1080" w:hanging="1080"/>
      </w:pPr>
      <w:rPr>
        <w:rFonts w:eastAsia="Calibri" w:cs="Times New Roman" w:hint="default"/>
        <w:color w:val="auto"/>
      </w:rPr>
    </w:lvl>
    <w:lvl w:ilvl="4">
      <w:start w:val="1"/>
      <w:numFmt w:val="decimal"/>
      <w:lvlText w:val="%1.%2.%3.%4.%5."/>
      <w:lvlJc w:val="left"/>
      <w:pPr>
        <w:ind w:left="1440" w:hanging="1440"/>
      </w:pPr>
      <w:rPr>
        <w:rFonts w:eastAsia="Calibri" w:cs="Times New Roman" w:hint="default"/>
        <w:color w:val="auto"/>
      </w:rPr>
    </w:lvl>
    <w:lvl w:ilvl="5">
      <w:start w:val="1"/>
      <w:numFmt w:val="decimal"/>
      <w:lvlText w:val="%1.%2.%3.%4.%5.%6."/>
      <w:lvlJc w:val="left"/>
      <w:pPr>
        <w:ind w:left="1440" w:hanging="1440"/>
      </w:pPr>
      <w:rPr>
        <w:rFonts w:eastAsia="Calibri" w:cs="Times New Roman" w:hint="default"/>
        <w:color w:val="auto"/>
      </w:rPr>
    </w:lvl>
    <w:lvl w:ilvl="6">
      <w:start w:val="1"/>
      <w:numFmt w:val="decimal"/>
      <w:lvlText w:val="%1.%2.%3.%4.%5.%6.%7."/>
      <w:lvlJc w:val="left"/>
      <w:pPr>
        <w:ind w:left="1800" w:hanging="1800"/>
      </w:pPr>
      <w:rPr>
        <w:rFonts w:eastAsia="Calibri" w:cs="Times New Roman" w:hint="default"/>
        <w:color w:val="auto"/>
      </w:rPr>
    </w:lvl>
    <w:lvl w:ilvl="7">
      <w:start w:val="1"/>
      <w:numFmt w:val="decimal"/>
      <w:lvlText w:val="%1.%2.%3.%4.%5.%6.%7.%8."/>
      <w:lvlJc w:val="left"/>
      <w:pPr>
        <w:ind w:left="1800" w:hanging="1800"/>
      </w:pPr>
      <w:rPr>
        <w:rFonts w:eastAsia="Calibri" w:cs="Times New Roman" w:hint="default"/>
        <w:color w:val="auto"/>
      </w:rPr>
    </w:lvl>
    <w:lvl w:ilvl="8">
      <w:start w:val="1"/>
      <w:numFmt w:val="decimal"/>
      <w:lvlText w:val="%1.%2.%3.%4.%5.%6.%7.%8.%9."/>
      <w:lvlJc w:val="left"/>
      <w:pPr>
        <w:ind w:left="2160" w:hanging="2160"/>
      </w:pPr>
      <w:rPr>
        <w:rFonts w:eastAsia="Calibri" w:cs="Times New Roman" w:hint="default"/>
        <w:color w:val="auto"/>
      </w:rPr>
    </w:lvl>
  </w:abstractNum>
  <w:abstractNum w:abstractNumId="6" w15:restartNumberingAfterBreak="0">
    <w:nsid w:val="1FE5592D"/>
    <w:multiLevelType w:val="hybridMultilevel"/>
    <w:tmpl w:val="0986B698"/>
    <w:lvl w:ilvl="0" w:tplc="2ADEEBA8">
      <w:numFmt w:val="bullet"/>
      <w:lvlText w:val=""/>
      <w:lvlJc w:val="left"/>
      <w:pPr>
        <w:ind w:left="720" w:hanging="360"/>
      </w:pPr>
      <w:rPr>
        <w:rFonts w:ascii="Symbol" w:eastAsia="Calibri" w:hAnsi="Symbol"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482226"/>
    <w:multiLevelType w:val="multilevel"/>
    <w:tmpl w:val="905A3004"/>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8" w15:restartNumberingAfterBreak="0">
    <w:nsid w:val="246D2E77"/>
    <w:multiLevelType w:val="multilevel"/>
    <w:tmpl w:val="8E0A8DB6"/>
    <w:lvl w:ilvl="0">
      <w:start w:val="1"/>
      <w:numFmt w:val="lowerLetter"/>
      <w:lvlText w:val="%1)"/>
      <w:lvlJc w:val="lef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9" w15:restartNumberingAfterBreak="0">
    <w:nsid w:val="2A467816"/>
    <w:multiLevelType w:val="multilevel"/>
    <w:tmpl w:val="4FCA8B06"/>
    <w:lvl w:ilvl="0">
      <w:start w:val="3"/>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 w15:restartNumberingAfterBreak="0">
    <w:nsid w:val="2A8E3D76"/>
    <w:multiLevelType w:val="multilevel"/>
    <w:tmpl w:val="1F229AF0"/>
    <w:lvl w:ilvl="0">
      <w:start w:val="9"/>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1" w15:restartNumberingAfterBreak="0">
    <w:nsid w:val="2B577593"/>
    <w:multiLevelType w:val="multilevel"/>
    <w:tmpl w:val="93629B34"/>
    <w:lvl w:ilvl="0">
      <w:start w:val="6"/>
      <w:numFmt w:val="lowerLetter"/>
      <w:lvlText w:val="%1)"/>
      <w:lvlJc w:val="left"/>
      <w:pPr>
        <w:ind w:left="160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7302F6"/>
    <w:multiLevelType w:val="multilevel"/>
    <w:tmpl w:val="83AAA34C"/>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CAD26AF"/>
    <w:multiLevelType w:val="multilevel"/>
    <w:tmpl w:val="A37C4F38"/>
    <w:lvl w:ilvl="0">
      <w:start w:val="4"/>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4" w15:restartNumberingAfterBreak="0">
    <w:nsid w:val="308170FD"/>
    <w:multiLevelType w:val="multilevel"/>
    <w:tmpl w:val="C6D44E8E"/>
    <w:lvl w:ilvl="0">
      <w:start w:val="7"/>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5" w15:restartNumberingAfterBreak="0">
    <w:nsid w:val="3E155FB7"/>
    <w:multiLevelType w:val="multilevel"/>
    <w:tmpl w:val="5624F58C"/>
    <w:lvl w:ilvl="0">
      <w:start w:val="12"/>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6" w15:restartNumberingAfterBreak="0">
    <w:nsid w:val="3F7A664F"/>
    <w:multiLevelType w:val="multilevel"/>
    <w:tmpl w:val="606C8DD0"/>
    <w:lvl w:ilvl="0">
      <w:start w:val="8"/>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2422"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7" w15:restartNumberingAfterBreak="0">
    <w:nsid w:val="3FD81340"/>
    <w:multiLevelType w:val="multilevel"/>
    <w:tmpl w:val="87B6CC7A"/>
    <w:lvl w:ilvl="0">
      <w:start w:val="11"/>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8" w15:restartNumberingAfterBreak="0">
    <w:nsid w:val="408F756D"/>
    <w:multiLevelType w:val="multilevel"/>
    <w:tmpl w:val="3F6ED216"/>
    <w:lvl w:ilvl="0">
      <w:start w:val="5"/>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9" w15:restartNumberingAfterBreak="0">
    <w:nsid w:val="41232D61"/>
    <w:multiLevelType w:val="multilevel"/>
    <w:tmpl w:val="3B6A9BD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4BA6434"/>
    <w:multiLevelType w:val="multilevel"/>
    <w:tmpl w:val="C3029B6C"/>
    <w:lvl w:ilvl="0">
      <w:start w:val="10"/>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1" w15:restartNumberingAfterBreak="0">
    <w:nsid w:val="46A14666"/>
    <w:multiLevelType w:val="multilevel"/>
    <w:tmpl w:val="0AF49A76"/>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F92A19"/>
    <w:multiLevelType w:val="multilevel"/>
    <w:tmpl w:val="75501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C40933"/>
    <w:multiLevelType w:val="multilevel"/>
    <w:tmpl w:val="27ECD186"/>
    <w:lvl w:ilvl="0">
      <w:start w:val="8"/>
      <w:numFmt w:val="decimal"/>
      <w:lvlText w:val="%1."/>
      <w:lvlJc w:val="left"/>
      <w:pPr>
        <w:ind w:left="675" w:hanging="675"/>
      </w:pPr>
      <w:rPr>
        <w:rFonts w:hint="default"/>
      </w:rPr>
    </w:lvl>
    <w:lvl w:ilvl="1">
      <w:start w:val="1"/>
      <w:numFmt w:val="decimal"/>
      <w:lvlText w:val="%1.%2."/>
      <w:lvlJc w:val="left"/>
      <w:pPr>
        <w:ind w:left="1571" w:hanging="720"/>
      </w:pPr>
      <w:rPr>
        <w:rFonts w:hint="default"/>
      </w:rPr>
    </w:lvl>
    <w:lvl w:ilvl="2">
      <w:start w:val="5"/>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4" w15:restartNumberingAfterBreak="0">
    <w:nsid w:val="501D2AD7"/>
    <w:multiLevelType w:val="multilevel"/>
    <w:tmpl w:val="63D67B96"/>
    <w:lvl w:ilvl="0">
      <w:start w:val="6"/>
      <w:numFmt w:val="decimal"/>
      <w:lvlText w:val="%1."/>
      <w:lvlJc w:val="left"/>
      <w:pPr>
        <w:ind w:left="720" w:hanging="360"/>
      </w:pPr>
    </w:lvl>
    <w:lvl w:ilvl="1">
      <w:start w:val="1"/>
      <w:numFmt w:val="decimal"/>
      <w:lvlText w:val="%1.%2."/>
      <w:lvlJc w:val="left"/>
      <w:pPr>
        <w:ind w:left="1353" w:hanging="359"/>
      </w:pPr>
      <w:rPr>
        <w:color w:val="000000"/>
      </w:rPr>
    </w:lvl>
    <w:lvl w:ilvl="2">
      <w:start w:val="1"/>
      <w:numFmt w:val="decimal"/>
      <w:lvlText w:val="%1.%2.%3."/>
      <w:lvlJc w:val="left"/>
      <w:pPr>
        <w:ind w:left="1800" w:hanging="720"/>
      </w:pPr>
      <w:rPr>
        <w:i w:val="0"/>
        <w:color w:val="000000"/>
      </w:rPr>
    </w:lvl>
    <w:lvl w:ilvl="3">
      <w:start w:val="1"/>
      <w:numFmt w:val="decimal"/>
      <w:lvlText w:val="%1.%2.%3.%4."/>
      <w:lvlJc w:val="left"/>
      <w:pPr>
        <w:ind w:left="2160" w:hanging="720"/>
      </w:pPr>
      <w:rPr>
        <w:i w:val="0"/>
        <w:color w:val="000000"/>
      </w:r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5" w15:restartNumberingAfterBreak="0">
    <w:nsid w:val="519162B7"/>
    <w:multiLevelType w:val="multilevel"/>
    <w:tmpl w:val="B746B0C8"/>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26" w15:restartNumberingAfterBreak="0">
    <w:nsid w:val="5C9B61D3"/>
    <w:multiLevelType w:val="multilevel"/>
    <w:tmpl w:val="6300692C"/>
    <w:lvl w:ilvl="0">
      <w:start w:val="8"/>
      <w:numFmt w:val="decimal"/>
      <w:lvlText w:val="%1."/>
      <w:lvlJc w:val="left"/>
      <w:pPr>
        <w:ind w:left="675" w:hanging="675"/>
      </w:pPr>
      <w:rPr>
        <w:rFonts w:hint="default"/>
      </w:rPr>
    </w:lvl>
    <w:lvl w:ilvl="1">
      <w:start w:val="2"/>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27" w15:restartNumberingAfterBreak="0">
    <w:nsid w:val="61F83C42"/>
    <w:multiLevelType w:val="multilevel"/>
    <w:tmpl w:val="CE7C113C"/>
    <w:lvl w:ilvl="0">
      <w:start w:val="4"/>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28" w15:restartNumberingAfterBreak="0">
    <w:nsid w:val="62036561"/>
    <w:multiLevelType w:val="multilevel"/>
    <w:tmpl w:val="081C699A"/>
    <w:lvl w:ilvl="0">
      <w:start w:val="1"/>
      <w:numFmt w:val="lowerLetter"/>
      <w:lvlText w:val="%1)"/>
      <w:lvlJc w:val="left"/>
      <w:pPr>
        <w:ind w:left="2073" w:hanging="360"/>
      </w:pPr>
    </w:lvl>
    <w:lvl w:ilvl="1">
      <w:start w:val="1"/>
      <w:numFmt w:val="lowerLetter"/>
      <w:lvlText w:val="%2."/>
      <w:lvlJc w:val="left"/>
      <w:pPr>
        <w:ind w:left="2793" w:hanging="360"/>
      </w:pPr>
    </w:lvl>
    <w:lvl w:ilvl="2">
      <w:start w:val="1"/>
      <w:numFmt w:val="lowerRoman"/>
      <w:lvlText w:val="%3."/>
      <w:lvlJc w:val="right"/>
      <w:pPr>
        <w:ind w:left="3513" w:hanging="180"/>
      </w:pPr>
    </w:lvl>
    <w:lvl w:ilvl="3">
      <w:start w:val="1"/>
      <w:numFmt w:val="decimal"/>
      <w:lvlText w:val="%4."/>
      <w:lvlJc w:val="left"/>
      <w:pPr>
        <w:ind w:left="4233" w:hanging="360"/>
      </w:pPr>
    </w:lvl>
    <w:lvl w:ilvl="4">
      <w:start w:val="1"/>
      <w:numFmt w:val="lowerLetter"/>
      <w:lvlText w:val="%5."/>
      <w:lvlJc w:val="left"/>
      <w:pPr>
        <w:ind w:left="4953" w:hanging="360"/>
      </w:pPr>
    </w:lvl>
    <w:lvl w:ilvl="5">
      <w:start w:val="1"/>
      <w:numFmt w:val="lowerRoman"/>
      <w:lvlText w:val="%6."/>
      <w:lvlJc w:val="right"/>
      <w:pPr>
        <w:ind w:left="5673" w:hanging="180"/>
      </w:pPr>
    </w:lvl>
    <w:lvl w:ilvl="6">
      <w:start w:val="1"/>
      <w:numFmt w:val="decimal"/>
      <w:lvlText w:val="%7."/>
      <w:lvlJc w:val="left"/>
      <w:pPr>
        <w:ind w:left="6393" w:hanging="360"/>
      </w:pPr>
    </w:lvl>
    <w:lvl w:ilvl="7">
      <w:start w:val="1"/>
      <w:numFmt w:val="lowerLetter"/>
      <w:lvlText w:val="%8."/>
      <w:lvlJc w:val="left"/>
      <w:pPr>
        <w:ind w:left="7113" w:hanging="360"/>
      </w:pPr>
    </w:lvl>
    <w:lvl w:ilvl="8">
      <w:start w:val="1"/>
      <w:numFmt w:val="lowerRoman"/>
      <w:lvlText w:val="%9."/>
      <w:lvlJc w:val="right"/>
      <w:pPr>
        <w:ind w:left="7833" w:hanging="180"/>
      </w:pPr>
    </w:lvl>
  </w:abstractNum>
  <w:abstractNum w:abstractNumId="29" w15:restartNumberingAfterBreak="0">
    <w:nsid w:val="6E016F77"/>
    <w:multiLevelType w:val="multilevel"/>
    <w:tmpl w:val="D0666704"/>
    <w:lvl w:ilvl="0">
      <w:start w:val="1"/>
      <w:numFmt w:val="upp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25968"/>
    <w:multiLevelType w:val="multilevel"/>
    <w:tmpl w:val="8944887A"/>
    <w:lvl w:ilvl="0">
      <w:start w:val="1"/>
      <w:numFmt w:val="lowerLetter"/>
      <w:lvlText w:val="%1)"/>
      <w:lvlJc w:val="left"/>
      <w:pPr>
        <w:ind w:left="2073" w:hanging="360"/>
      </w:pPr>
    </w:lvl>
    <w:lvl w:ilvl="1">
      <w:start w:val="1"/>
      <w:numFmt w:val="lowerLetter"/>
      <w:lvlText w:val="%2."/>
      <w:lvlJc w:val="left"/>
      <w:pPr>
        <w:ind w:left="2793" w:hanging="360"/>
      </w:pPr>
    </w:lvl>
    <w:lvl w:ilvl="2">
      <w:start w:val="1"/>
      <w:numFmt w:val="lowerRoman"/>
      <w:lvlText w:val="%3."/>
      <w:lvlJc w:val="right"/>
      <w:pPr>
        <w:ind w:left="3513" w:hanging="180"/>
      </w:pPr>
    </w:lvl>
    <w:lvl w:ilvl="3">
      <w:start w:val="1"/>
      <w:numFmt w:val="decimal"/>
      <w:lvlText w:val="%4."/>
      <w:lvlJc w:val="left"/>
      <w:pPr>
        <w:ind w:left="4233" w:hanging="360"/>
      </w:pPr>
    </w:lvl>
    <w:lvl w:ilvl="4">
      <w:start w:val="1"/>
      <w:numFmt w:val="lowerLetter"/>
      <w:lvlText w:val="%5."/>
      <w:lvlJc w:val="left"/>
      <w:pPr>
        <w:ind w:left="4953" w:hanging="360"/>
      </w:pPr>
    </w:lvl>
    <w:lvl w:ilvl="5">
      <w:start w:val="1"/>
      <w:numFmt w:val="lowerRoman"/>
      <w:lvlText w:val="%6."/>
      <w:lvlJc w:val="right"/>
      <w:pPr>
        <w:ind w:left="5673" w:hanging="180"/>
      </w:pPr>
    </w:lvl>
    <w:lvl w:ilvl="6">
      <w:start w:val="1"/>
      <w:numFmt w:val="decimal"/>
      <w:lvlText w:val="%7."/>
      <w:lvlJc w:val="left"/>
      <w:pPr>
        <w:ind w:left="6393" w:hanging="360"/>
      </w:pPr>
    </w:lvl>
    <w:lvl w:ilvl="7">
      <w:start w:val="1"/>
      <w:numFmt w:val="lowerLetter"/>
      <w:lvlText w:val="%8."/>
      <w:lvlJc w:val="left"/>
      <w:pPr>
        <w:ind w:left="7113" w:hanging="360"/>
      </w:pPr>
    </w:lvl>
    <w:lvl w:ilvl="8">
      <w:start w:val="1"/>
      <w:numFmt w:val="lowerRoman"/>
      <w:lvlText w:val="%9."/>
      <w:lvlJc w:val="right"/>
      <w:pPr>
        <w:ind w:left="7833" w:hanging="180"/>
      </w:pPr>
    </w:lvl>
  </w:abstractNum>
  <w:abstractNum w:abstractNumId="31" w15:restartNumberingAfterBreak="0">
    <w:nsid w:val="7C4F3C24"/>
    <w:multiLevelType w:val="multilevel"/>
    <w:tmpl w:val="E5E66664"/>
    <w:lvl w:ilvl="0">
      <w:start w:val="1"/>
      <w:numFmt w:val="lowerLetter"/>
      <w:lvlText w:val="%1)"/>
      <w:lvlJc w:val="left"/>
      <w:pPr>
        <w:ind w:left="1608" w:hanging="360"/>
      </w:p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num w:numId="1" w16cid:durableId="562718978">
    <w:abstractNumId w:val="25"/>
  </w:num>
  <w:num w:numId="2" w16cid:durableId="129441859">
    <w:abstractNumId w:val="31"/>
  </w:num>
  <w:num w:numId="3" w16cid:durableId="909269211">
    <w:abstractNumId w:val="2"/>
  </w:num>
  <w:num w:numId="4" w16cid:durableId="1017927377">
    <w:abstractNumId w:val="11"/>
  </w:num>
  <w:num w:numId="5" w16cid:durableId="1000624430">
    <w:abstractNumId w:val="9"/>
  </w:num>
  <w:num w:numId="6" w16cid:durableId="1398699110">
    <w:abstractNumId w:val="21"/>
  </w:num>
  <w:num w:numId="7" w16cid:durableId="1350982571">
    <w:abstractNumId w:val="4"/>
  </w:num>
  <w:num w:numId="8" w16cid:durableId="874848993">
    <w:abstractNumId w:val="13"/>
  </w:num>
  <w:num w:numId="9" w16cid:durableId="1260602844">
    <w:abstractNumId w:val="1"/>
  </w:num>
  <w:num w:numId="10" w16cid:durableId="1089352859">
    <w:abstractNumId w:val="18"/>
  </w:num>
  <w:num w:numId="11" w16cid:durableId="1806390480">
    <w:abstractNumId w:val="24"/>
  </w:num>
  <w:num w:numId="12" w16cid:durableId="1909609547">
    <w:abstractNumId w:val="19"/>
  </w:num>
  <w:num w:numId="13" w16cid:durableId="2038694872">
    <w:abstractNumId w:val="29"/>
  </w:num>
  <w:num w:numId="14" w16cid:durableId="1056857087">
    <w:abstractNumId w:val="12"/>
  </w:num>
  <w:num w:numId="15" w16cid:durableId="1880429751">
    <w:abstractNumId w:val="7"/>
  </w:num>
  <w:num w:numId="16" w16cid:durableId="1947886556">
    <w:abstractNumId w:val="10"/>
  </w:num>
  <w:num w:numId="17" w16cid:durableId="439374107">
    <w:abstractNumId w:val="20"/>
  </w:num>
  <w:num w:numId="18" w16cid:durableId="472721610">
    <w:abstractNumId w:val="17"/>
  </w:num>
  <w:num w:numId="19" w16cid:durableId="1423646074">
    <w:abstractNumId w:val="15"/>
  </w:num>
  <w:num w:numId="20" w16cid:durableId="559756585">
    <w:abstractNumId w:val="28"/>
  </w:num>
  <w:num w:numId="21" w16cid:durableId="1033044831">
    <w:abstractNumId w:val="3"/>
  </w:num>
  <w:num w:numId="22" w16cid:durableId="887187956">
    <w:abstractNumId w:val="0"/>
  </w:num>
  <w:num w:numId="23" w16cid:durableId="1226179741">
    <w:abstractNumId w:val="8"/>
  </w:num>
  <w:num w:numId="24" w16cid:durableId="1352876835">
    <w:abstractNumId w:val="14"/>
  </w:num>
  <w:num w:numId="25" w16cid:durableId="1783302121">
    <w:abstractNumId w:val="16"/>
  </w:num>
  <w:num w:numId="26" w16cid:durableId="266810614">
    <w:abstractNumId w:val="22"/>
  </w:num>
  <w:num w:numId="27" w16cid:durableId="964116733">
    <w:abstractNumId w:val="30"/>
  </w:num>
  <w:num w:numId="28" w16cid:durableId="2086873088">
    <w:abstractNumId w:val="27"/>
  </w:num>
  <w:num w:numId="29" w16cid:durableId="936910743">
    <w:abstractNumId w:val="6"/>
  </w:num>
  <w:num w:numId="30" w16cid:durableId="1794514773">
    <w:abstractNumId w:val="5"/>
  </w:num>
  <w:num w:numId="31" w16cid:durableId="23208674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68758344">
    <w:abstractNumId w:val="23"/>
  </w:num>
  <w:num w:numId="33" w16cid:durableId="12749016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945"/>
    <w:rsid w:val="00033096"/>
    <w:rsid w:val="000C3E40"/>
    <w:rsid w:val="00136B4A"/>
    <w:rsid w:val="00162B22"/>
    <w:rsid w:val="001B58C3"/>
    <w:rsid w:val="00237C85"/>
    <w:rsid w:val="0025198B"/>
    <w:rsid w:val="0027783F"/>
    <w:rsid w:val="002A45BF"/>
    <w:rsid w:val="002F4089"/>
    <w:rsid w:val="003402F1"/>
    <w:rsid w:val="003950A6"/>
    <w:rsid w:val="003E7603"/>
    <w:rsid w:val="004559BE"/>
    <w:rsid w:val="0047411C"/>
    <w:rsid w:val="00475945"/>
    <w:rsid w:val="004A4483"/>
    <w:rsid w:val="004E0829"/>
    <w:rsid w:val="004E194B"/>
    <w:rsid w:val="00506B53"/>
    <w:rsid w:val="00524125"/>
    <w:rsid w:val="00564733"/>
    <w:rsid w:val="0059663B"/>
    <w:rsid w:val="005C0E5C"/>
    <w:rsid w:val="005E30B1"/>
    <w:rsid w:val="005F14EE"/>
    <w:rsid w:val="00611088"/>
    <w:rsid w:val="006156C3"/>
    <w:rsid w:val="006175AF"/>
    <w:rsid w:val="00652E7C"/>
    <w:rsid w:val="00676E4E"/>
    <w:rsid w:val="006818E3"/>
    <w:rsid w:val="006E334E"/>
    <w:rsid w:val="00764E13"/>
    <w:rsid w:val="007D404B"/>
    <w:rsid w:val="00815418"/>
    <w:rsid w:val="008A30ED"/>
    <w:rsid w:val="008C626B"/>
    <w:rsid w:val="00911DEF"/>
    <w:rsid w:val="009C4308"/>
    <w:rsid w:val="009E1CF8"/>
    <w:rsid w:val="009F67DF"/>
    <w:rsid w:val="00A060BA"/>
    <w:rsid w:val="00AD1138"/>
    <w:rsid w:val="00B27927"/>
    <w:rsid w:val="00B87D52"/>
    <w:rsid w:val="00BB18F7"/>
    <w:rsid w:val="00C366EA"/>
    <w:rsid w:val="00C36CE9"/>
    <w:rsid w:val="00C54FD7"/>
    <w:rsid w:val="00CC06AA"/>
    <w:rsid w:val="00CC7820"/>
    <w:rsid w:val="00D04192"/>
    <w:rsid w:val="00D15545"/>
    <w:rsid w:val="00D17A8B"/>
    <w:rsid w:val="00D22DAE"/>
    <w:rsid w:val="00D30380"/>
    <w:rsid w:val="00D32E1A"/>
    <w:rsid w:val="00D509A5"/>
    <w:rsid w:val="00D55AF7"/>
    <w:rsid w:val="00DA4AF8"/>
    <w:rsid w:val="00DA681A"/>
    <w:rsid w:val="00DD1BC2"/>
    <w:rsid w:val="00E13C1B"/>
    <w:rsid w:val="00E37B5E"/>
    <w:rsid w:val="00EA7E31"/>
    <w:rsid w:val="00EE3D85"/>
    <w:rsid w:val="00EE3F12"/>
    <w:rsid w:val="00F0686C"/>
    <w:rsid w:val="00F2625D"/>
    <w:rsid w:val="00F26AC8"/>
    <w:rsid w:val="00F90B0E"/>
    <w:rsid w:val="00FF0A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5C66E"/>
  <w15:chartTrackingRefBased/>
  <w15:docId w15:val="{376B3FCC-B98A-45B1-B1F1-259C3FFA8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45"/>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4759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PargrafodaLista">
    <w:name w:val="List Paragraph"/>
    <w:aliases w:val="Segundo,Lista Itens,List Paragraph,Normal - Marcadores,Parágrafo da Lista11,lp1"/>
    <w:basedOn w:val="Normal"/>
    <w:qFormat/>
    <w:rsid w:val="00475945"/>
    <w:pPr>
      <w:ind w:left="720"/>
      <w:contextualSpacing/>
    </w:pPr>
  </w:style>
  <w:style w:type="character" w:styleId="Hyperlink">
    <w:name w:val="Hyperlink"/>
    <w:basedOn w:val="Fontepargpadro"/>
    <w:uiPriority w:val="99"/>
    <w:unhideWhenUsed/>
    <w:rsid w:val="00475945"/>
    <w:rPr>
      <w:color w:val="0563C1" w:themeColor="hyperlink"/>
      <w:u w:val="single"/>
    </w:rPr>
  </w:style>
  <w:style w:type="paragraph" w:styleId="Textodebalo">
    <w:name w:val="Balloon Text"/>
    <w:basedOn w:val="Normal"/>
    <w:link w:val="TextodebaloChar"/>
    <w:uiPriority w:val="99"/>
    <w:semiHidden/>
    <w:unhideWhenUsed/>
    <w:rsid w:val="003402F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402F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0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1.tce.pr.gov.br/noticias/tce-pr-esclarece-que-taxa-negativa-em-licitacao-de-auxilio-alimentacao-e-possivel/11356/N" TargetMode="External"/><Relationship Id="rId5" Type="http://schemas.openxmlformats.org/officeDocument/2006/relationships/hyperlink" Target="mailto:administracao@pmcordi.sc.gov.br"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17</Pages>
  <Words>6270</Words>
  <Characters>33859</Characters>
  <Application>Microsoft Office Word</Application>
  <DocSecurity>0</DocSecurity>
  <Lines>282</Lines>
  <Paragraphs>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User</cp:lastModifiedBy>
  <cp:revision>39</cp:revision>
  <cp:lastPrinted>2024-07-12T14:12:00Z</cp:lastPrinted>
  <dcterms:created xsi:type="dcterms:W3CDTF">2024-07-10T19:02:00Z</dcterms:created>
  <dcterms:modified xsi:type="dcterms:W3CDTF">2024-07-12T19:52:00Z</dcterms:modified>
</cp:coreProperties>
</file>